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79" w:rsidRPr="006E09C6" w:rsidRDefault="00523079" w:rsidP="00953C6F">
      <w:pPr>
        <w:jc w:val="both"/>
        <w:rPr>
          <w:rFonts w:ascii="Garamond" w:hAnsi="Garamond" w:cs="Arial"/>
          <w:noProof/>
        </w:rPr>
      </w:pPr>
    </w:p>
    <w:p w:rsidR="00D35BB3" w:rsidRPr="006E09C6" w:rsidRDefault="00D35BB3" w:rsidP="00953C6F">
      <w:pPr>
        <w:jc w:val="both"/>
        <w:rPr>
          <w:rFonts w:ascii="Garamond" w:hAnsi="Garamond" w:cs="Arial"/>
          <w:noProof/>
        </w:rPr>
      </w:pPr>
    </w:p>
    <w:p w:rsidR="00D35BB3" w:rsidRPr="006E09C6" w:rsidRDefault="00D35BB3" w:rsidP="00953C6F">
      <w:pPr>
        <w:jc w:val="both"/>
        <w:rPr>
          <w:rFonts w:ascii="Garamond" w:hAnsi="Garamond" w:cs="Arial"/>
          <w:noProof/>
        </w:rPr>
      </w:pPr>
    </w:p>
    <w:p w:rsidR="00523079" w:rsidRPr="006E09C6" w:rsidRDefault="004647A9" w:rsidP="00953C6F">
      <w:pPr>
        <w:jc w:val="center"/>
        <w:rPr>
          <w:rFonts w:ascii="Garamond" w:hAnsi="Garamond" w:cs="Arial"/>
          <w:noProof/>
          <w:sz w:val="40"/>
          <w:szCs w:val="40"/>
        </w:rPr>
      </w:pPr>
      <w:sdt>
        <w:sdtPr>
          <w:rPr>
            <w:rFonts w:ascii="Garamond" w:eastAsia="MS Mincho" w:hAnsi="Garamond" w:cs="Times New Roman"/>
            <w:noProof/>
            <w:sz w:val="40"/>
            <w:szCs w:val="40"/>
            <w:lang w:eastAsia="ja-JP"/>
          </w:rPr>
          <w:alias w:val="Title"/>
          <w:tag w:val=""/>
          <w:id w:val="-1395664674"/>
          <w:dataBinding w:prefixMappings="xmlns:ns0='http://purl.org/dc/elements/1.1/' xmlns:ns1='http://schemas.openxmlformats.org/package/2006/metadata/core-properties' " w:xpath="/ns1:coreProperties[1]/ns0:title[1]" w:storeItemID="{6C3C8BC8-F283-45AE-878A-BAB7291924A1}"/>
          <w:text/>
        </w:sdtPr>
        <w:sdtContent>
          <w:r w:rsidR="00523079" w:rsidRPr="006E09C6">
            <w:rPr>
              <w:rFonts w:ascii="Garamond" w:eastAsia="MS Mincho" w:hAnsi="Garamond" w:cs="Times New Roman"/>
              <w:noProof/>
              <w:sz w:val="40"/>
              <w:szCs w:val="40"/>
              <w:lang w:eastAsia="ja-JP"/>
            </w:rPr>
            <w:t>Nezavisni medijski fond – Istraživanje stavova građana</w:t>
          </w:r>
          <w:r w:rsidR="007844B9" w:rsidRPr="006E09C6">
            <w:rPr>
              <w:rFonts w:ascii="Garamond" w:eastAsia="MS Mincho" w:hAnsi="Garamond" w:cs="Times New Roman"/>
              <w:noProof/>
              <w:sz w:val="40"/>
              <w:szCs w:val="40"/>
              <w:lang w:eastAsia="ja-JP"/>
            </w:rPr>
            <w:t xml:space="preserve"> i predstavnika medija</w:t>
          </w:r>
        </w:sdtContent>
      </w:sdt>
    </w:p>
    <w:p w:rsidR="00523079" w:rsidRPr="006E09C6" w:rsidRDefault="00523079" w:rsidP="00953C6F">
      <w:pPr>
        <w:jc w:val="center"/>
        <w:rPr>
          <w:rFonts w:ascii="Garamond" w:hAnsi="Garamond" w:cs="Arial"/>
          <w:noProof/>
          <w:sz w:val="40"/>
          <w:szCs w:val="40"/>
        </w:rPr>
      </w:pPr>
    </w:p>
    <w:p w:rsidR="00523079" w:rsidRPr="006E09C6" w:rsidRDefault="00523079" w:rsidP="00953C6F">
      <w:pPr>
        <w:jc w:val="center"/>
        <w:rPr>
          <w:rFonts w:ascii="Garamond" w:hAnsi="Garamond" w:cs="Arial"/>
          <w:noProof/>
          <w:sz w:val="40"/>
          <w:szCs w:val="40"/>
        </w:rPr>
      </w:pPr>
    </w:p>
    <w:p w:rsidR="00523079" w:rsidRPr="006E09C6" w:rsidRDefault="00523079" w:rsidP="00953C6F">
      <w:pPr>
        <w:jc w:val="center"/>
        <w:rPr>
          <w:rFonts w:ascii="Garamond" w:hAnsi="Garamond" w:cs="Arial"/>
          <w:noProof/>
          <w:sz w:val="40"/>
          <w:szCs w:val="40"/>
        </w:rPr>
      </w:pPr>
    </w:p>
    <w:p w:rsidR="00D35BB3" w:rsidRPr="006E09C6" w:rsidRDefault="00D35BB3" w:rsidP="00953C6F">
      <w:pPr>
        <w:jc w:val="center"/>
        <w:rPr>
          <w:rFonts w:ascii="Garamond" w:hAnsi="Garamond" w:cs="Arial"/>
          <w:noProof/>
          <w:sz w:val="40"/>
          <w:szCs w:val="40"/>
        </w:rPr>
      </w:pPr>
    </w:p>
    <w:p w:rsidR="00D35BB3" w:rsidRPr="006E09C6" w:rsidRDefault="00D35BB3" w:rsidP="00953C6F">
      <w:pPr>
        <w:jc w:val="center"/>
        <w:rPr>
          <w:rFonts w:ascii="Garamond" w:hAnsi="Garamond" w:cs="Arial"/>
          <w:noProof/>
          <w:sz w:val="40"/>
          <w:szCs w:val="40"/>
        </w:rPr>
      </w:pPr>
    </w:p>
    <w:p w:rsidR="00D35BB3" w:rsidRPr="006E09C6" w:rsidRDefault="00D35BB3" w:rsidP="00953C6F">
      <w:pPr>
        <w:jc w:val="center"/>
        <w:rPr>
          <w:rFonts w:ascii="Garamond" w:hAnsi="Garamond" w:cs="Arial"/>
          <w:noProof/>
          <w:sz w:val="40"/>
          <w:szCs w:val="40"/>
        </w:rPr>
      </w:pPr>
    </w:p>
    <w:p w:rsidR="00523079" w:rsidRPr="006E09C6" w:rsidRDefault="00D35BB3" w:rsidP="00953C6F">
      <w:pPr>
        <w:jc w:val="center"/>
        <w:rPr>
          <w:rFonts w:ascii="Garamond" w:hAnsi="Garamond" w:cs="Arial"/>
          <w:noProof/>
          <w:sz w:val="40"/>
          <w:szCs w:val="40"/>
        </w:rPr>
      </w:pPr>
      <w:r w:rsidRPr="006E09C6">
        <w:rPr>
          <w:rFonts w:ascii="Garamond" w:hAnsi="Garamond" w:cs="Arial"/>
          <w:noProof/>
          <w:sz w:val="40"/>
          <w:szCs w:val="40"/>
        </w:rPr>
        <w:t>Mart 2014</w:t>
      </w:r>
    </w:p>
    <w:p w:rsidR="00523079" w:rsidRPr="006E09C6" w:rsidRDefault="00523079" w:rsidP="00953C6F">
      <w:pPr>
        <w:jc w:val="center"/>
        <w:rPr>
          <w:rFonts w:ascii="Garamond" w:hAnsi="Garamond" w:cs="Arial"/>
          <w:noProof/>
          <w:sz w:val="40"/>
          <w:szCs w:val="40"/>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953C6F" w:rsidRPr="006E09C6" w:rsidRDefault="00953C6F" w:rsidP="00953C6F">
      <w:pPr>
        <w:jc w:val="both"/>
        <w:rPr>
          <w:rFonts w:ascii="Garamond" w:hAnsi="Garamond" w:cs="Arial"/>
          <w:noProof/>
        </w:rPr>
      </w:pPr>
    </w:p>
    <w:p w:rsidR="00523079" w:rsidRPr="006E09C6" w:rsidRDefault="00523079" w:rsidP="00953C6F">
      <w:pPr>
        <w:jc w:val="both"/>
        <w:rPr>
          <w:rFonts w:ascii="Garamond" w:hAnsi="Garamond" w:cs="Arial"/>
          <w:noProof/>
        </w:rPr>
      </w:pPr>
    </w:p>
    <w:tbl>
      <w:tblPr>
        <w:tblW w:w="5716" w:type="pct"/>
        <w:tblCellMar>
          <w:left w:w="0" w:type="dxa"/>
          <w:right w:w="0" w:type="dxa"/>
        </w:tblCellMar>
        <w:tblLook w:val="04A0"/>
      </w:tblPr>
      <w:tblGrid>
        <w:gridCol w:w="4428"/>
        <w:gridCol w:w="21"/>
        <w:gridCol w:w="2711"/>
        <w:gridCol w:w="456"/>
        <w:gridCol w:w="2706"/>
      </w:tblGrid>
      <w:tr w:rsidR="00D35BB3" w:rsidRPr="006E09C6" w:rsidTr="00D35BB3">
        <w:sdt>
          <w:sdtPr>
            <w:rPr>
              <w:rStyle w:val="IntenseReference"/>
              <w:rFonts w:ascii="Garamond" w:hAnsi="Garamond"/>
              <w:smallCaps w:val="0"/>
              <w:noProof/>
              <w:color w:val="auto"/>
              <w:u w:val="none"/>
            </w:rPr>
            <w:alias w:val="Address"/>
            <w:tag w:val=""/>
            <w:id w:val="-1372225111"/>
            <w:dataBinding w:prefixMappings="xmlns:ns0='http://schemas.microsoft.com/office/2006/coverPageProps' " w:xpath="/ns0:CoverPageProperties[1]/ns0:CompanyAddress[1]" w:storeItemID="{55AF091B-3C7A-41E3-B477-F2FDAA23CFDA}"/>
            <w:text w:multiLine="1"/>
          </w:sdtPr>
          <w:sdtContent>
            <w:tc>
              <w:tcPr>
                <w:tcW w:w="2145" w:type="pct"/>
              </w:tcPr>
              <w:p w:rsidR="00D35BB3" w:rsidRPr="006E09C6" w:rsidRDefault="00D35BB3" w:rsidP="00C20DFE">
                <w:pPr>
                  <w:pStyle w:val="ContactInfo"/>
                  <w:ind w:right="-1210"/>
                  <w:rPr>
                    <w:rFonts w:ascii="Garamond" w:hAnsi="Garamond"/>
                    <w:noProof/>
                    <w:color w:val="auto"/>
                  </w:rPr>
                </w:pPr>
                <w:r w:rsidRPr="006E09C6">
                  <w:rPr>
                    <w:rStyle w:val="IntenseReference"/>
                    <w:rFonts w:ascii="Garamond" w:hAnsi="Garamond"/>
                    <w:smallCaps w:val="0"/>
                    <w:noProof/>
                    <w:color w:val="auto"/>
                    <w:u w:val="none"/>
                  </w:rPr>
                  <w:t xml:space="preserve">Biro za društvena istraživanja </w:t>
                </w:r>
                <w:r w:rsidRPr="006E09C6">
                  <w:rPr>
                    <w:rStyle w:val="IntenseReference"/>
                    <w:rFonts w:ascii="Garamond" w:hAnsi="Garamond"/>
                    <w:smallCaps w:val="0"/>
                    <w:noProof/>
                    <w:color w:val="auto"/>
                    <w:u w:val="none"/>
                  </w:rPr>
                  <w:br/>
                  <w:t xml:space="preserve">(BIRODI) </w:t>
                </w:r>
              </w:p>
            </w:tc>
          </w:sdtContent>
        </w:sdt>
        <w:tc>
          <w:tcPr>
            <w:tcW w:w="10" w:type="pct"/>
          </w:tcPr>
          <w:p w:rsidR="00D35BB3" w:rsidRPr="006E09C6" w:rsidRDefault="00D35BB3" w:rsidP="00953C6F">
            <w:pPr>
              <w:pStyle w:val="ContactInfo"/>
              <w:jc w:val="both"/>
              <w:rPr>
                <w:rFonts w:ascii="Garamond" w:hAnsi="Garamond"/>
                <w:noProof/>
                <w:color w:val="auto"/>
              </w:rPr>
            </w:pPr>
          </w:p>
        </w:tc>
        <w:tc>
          <w:tcPr>
            <w:tcW w:w="1313" w:type="pct"/>
          </w:tcPr>
          <w:p w:rsidR="00D35BB3" w:rsidRPr="006E09C6" w:rsidRDefault="00D35BB3" w:rsidP="00953C6F">
            <w:pPr>
              <w:pStyle w:val="ContactInfo"/>
              <w:jc w:val="both"/>
              <w:rPr>
                <w:rFonts w:ascii="Garamond" w:hAnsi="Garamond"/>
                <w:noProof/>
                <w:color w:val="auto"/>
              </w:rPr>
            </w:pPr>
            <w:r w:rsidRPr="006E09C6">
              <w:rPr>
                <w:rFonts w:ascii="Garamond" w:hAnsi="Garamond"/>
                <w:noProof/>
                <w:color w:val="auto"/>
              </w:rPr>
              <w:t xml:space="preserve"> p. </w:t>
            </w:r>
            <w:sdt>
              <w:sdtPr>
                <w:rPr>
                  <w:rFonts w:ascii="Garamond" w:hAnsi="Garamond"/>
                  <w:noProof/>
                  <w:color w:val="auto"/>
                </w:rPr>
                <w:alias w:val="Company Phone"/>
                <w:tag w:val=""/>
                <w:id w:val="-2024622842"/>
                <w:showingPlcHdr/>
                <w:dataBinding w:prefixMappings="xmlns:ns0='http://schemas.microsoft.com/office/2006/coverPageProps' " w:xpath="/ns0:CoverPageProperties[1]/ns0:CompanyPhone[1]" w:storeItemID="{55AF091B-3C7A-41E3-B477-F2FDAA23CFDA}"/>
                <w:text/>
              </w:sdtPr>
              <w:sdtContent>
                <w:r w:rsidRPr="006E09C6">
                  <w:rPr>
                    <w:rFonts w:ascii="Garamond" w:hAnsi="Garamond"/>
                    <w:noProof/>
                    <w:color w:val="auto"/>
                  </w:rPr>
                  <w:t>[Telephone]</w:t>
                </w:r>
              </w:sdtContent>
            </w:sdt>
          </w:p>
          <w:p w:rsidR="00D35BB3" w:rsidRPr="006E09C6" w:rsidRDefault="00D35BB3" w:rsidP="00953C6F">
            <w:pPr>
              <w:pStyle w:val="ContactInfo"/>
              <w:jc w:val="both"/>
              <w:rPr>
                <w:rFonts w:ascii="Garamond" w:hAnsi="Garamond"/>
                <w:noProof/>
                <w:color w:val="auto"/>
              </w:rPr>
            </w:pPr>
            <w:r w:rsidRPr="006E09C6">
              <w:rPr>
                <w:rFonts w:ascii="Garamond" w:hAnsi="Garamond"/>
                <w:noProof/>
                <w:color w:val="auto"/>
              </w:rPr>
              <w:t xml:space="preserve">f. </w:t>
            </w:r>
            <w:sdt>
              <w:sdtPr>
                <w:rPr>
                  <w:rFonts w:ascii="Garamond" w:hAnsi="Garamond"/>
                  <w:noProof/>
                  <w:color w:val="auto"/>
                </w:rPr>
                <w:alias w:val="Fax"/>
                <w:tag w:val=""/>
                <w:id w:val="-73200437"/>
                <w:showingPlcHdr/>
                <w:dataBinding w:prefixMappings="xmlns:ns0='http://schemas.microsoft.com/office/2006/coverPageProps' " w:xpath="/ns0:CoverPageProperties[1]/ns0:CompanyFax[1]" w:storeItemID="{55AF091B-3C7A-41E3-B477-F2FDAA23CFDA}"/>
                <w:text/>
              </w:sdtPr>
              <w:sdtContent>
                <w:r w:rsidRPr="006E09C6">
                  <w:rPr>
                    <w:rFonts w:ascii="Garamond" w:hAnsi="Garamond"/>
                    <w:noProof/>
                    <w:color w:val="auto"/>
                  </w:rPr>
                  <w:t>[Fax]</w:t>
                </w:r>
              </w:sdtContent>
            </w:sdt>
          </w:p>
        </w:tc>
        <w:tc>
          <w:tcPr>
            <w:tcW w:w="221" w:type="pct"/>
          </w:tcPr>
          <w:p w:rsidR="00D35BB3" w:rsidRPr="006E09C6" w:rsidRDefault="00D35BB3" w:rsidP="00953C6F">
            <w:pPr>
              <w:pStyle w:val="ContactInfo"/>
              <w:jc w:val="both"/>
              <w:rPr>
                <w:rFonts w:ascii="Garamond" w:hAnsi="Garamond"/>
                <w:noProof/>
                <w:color w:val="auto"/>
              </w:rPr>
            </w:pPr>
          </w:p>
        </w:tc>
        <w:tc>
          <w:tcPr>
            <w:tcW w:w="1311" w:type="pct"/>
          </w:tcPr>
          <w:sdt>
            <w:sdtPr>
              <w:rPr>
                <w:rFonts w:ascii="Garamond" w:hAnsi="Garamond"/>
                <w:noProof/>
                <w:color w:val="auto"/>
              </w:rPr>
              <w:alias w:val="Email"/>
              <w:tag w:val=""/>
              <w:id w:val="211849830"/>
              <w:showingPlcHdr/>
              <w:dataBinding w:prefixMappings="xmlns:ns0='http://schemas.microsoft.com/office/2006/coverPageProps' " w:xpath="/ns0:CoverPageProperties[1]/ns0:CompanyEmail[1]" w:storeItemID="{55AF091B-3C7A-41E3-B477-F2FDAA23CFDA}"/>
              <w:text/>
            </w:sdtPr>
            <w:sdtContent>
              <w:p w:rsidR="00D35BB3" w:rsidRPr="006E09C6" w:rsidRDefault="00D35BB3" w:rsidP="00953C6F">
                <w:pPr>
                  <w:pStyle w:val="ContactInfo"/>
                  <w:jc w:val="both"/>
                  <w:rPr>
                    <w:rFonts w:ascii="Garamond" w:hAnsi="Garamond"/>
                    <w:noProof/>
                    <w:color w:val="auto"/>
                  </w:rPr>
                </w:pPr>
                <w:r w:rsidRPr="006E09C6">
                  <w:rPr>
                    <w:rFonts w:ascii="Garamond" w:hAnsi="Garamond"/>
                    <w:noProof/>
                    <w:color w:val="auto"/>
                  </w:rPr>
                  <w:t>[Email]</w:t>
                </w:r>
              </w:p>
            </w:sdtContent>
          </w:sdt>
          <w:p w:rsidR="00D35BB3" w:rsidRPr="006E09C6" w:rsidRDefault="004647A9" w:rsidP="00953C6F">
            <w:pPr>
              <w:pStyle w:val="ContactInfo"/>
              <w:jc w:val="both"/>
              <w:rPr>
                <w:rFonts w:ascii="Garamond" w:hAnsi="Garamond"/>
                <w:noProof/>
                <w:color w:val="auto"/>
              </w:rPr>
            </w:pPr>
            <w:sdt>
              <w:sdtPr>
                <w:rPr>
                  <w:rFonts w:ascii="Garamond" w:hAnsi="Garamond"/>
                  <w:noProof/>
                  <w:color w:val="auto"/>
                </w:rPr>
                <w:alias w:val="Web address"/>
                <w:tag w:val=""/>
                <w:id w:val="-1023559490"/>
                <w:showingPlcHdr/>
                <w:dataBinding w:prefixMappings="xmlns:ns0='http://purl.org/dc/elements/1.1/' xmlns:ns1='http://schemas.openxmlformats.org/package/2006/metadata/core-properties' " w:xpath="/ns1:coreProperties[1]/ns1:contentStatus[1]" w:storeItemID="{6C3C8BC8-F283-45AE-878A-BAB7291924A1}"/>
                <w:text/>
              </w:sdtPr>
              <w:sdtContent>
                <w:r w:rsidR="00D35BB3" w:rsidRPr="006E09C6">
                  <w:rPr>
                    <w:rFonts w:ascii="Garamond" w:hAnsi="Garamond"/>
                    <w:noProof/>
                    <w:color w:val="auto"/>
                  </w:rPr>
                  <w:t>[Web address]</w:t>
                </w:r>
              </w:sdtContent>
            </w:sdt>
          </w:p>
        </w:tc>
      </w:tr>
    </w:tbl>
    <w:p w:rsidR="00523079" w:rsidRPr="006E09C6" w:rsidRDefault="00523079" w:rsidP="00953C6F">
      <w:pPr>
        <w:jc w:val="both"/>
        <w:rPr>
          <w:rFonts w:ascii="Garamond" w:hAnsi="Garamond" w:cs="Arial"/>
          <w:noProof/>
        </w:rPr>
      </w:pPr>
    </w:p>
    <w:p w:rsidR="00953C6F" w:rsidRPr="006E09C6" w:rsidRDefault="00953C6F" w:rsidP="00953C6F">
      <w:pPr>
        <w:jc w:val="both"/>
        <w:rPr>
          <w:rFonts w:ascii="Garamond" w:hAnsi="Garamond" w:cs="Arial"/>
          <w:noProof/>
        </w:rPr>
      </w:pPr>
    </w:p>
    <w:p w:rsidR="00953C6F" w:rsidRPr="006E09C6" w:rsidRDefault="00953C6F" w:rsidP="00953C6F">
      <w:pPr>
        <w:jc w:val="both"/>
        <w:rPr>
          <w:rFonts w:ascii="Garamond" w:hAnsi="Garamond" w:cs="Arial"/>
          <w:noProof/>
        </w:rPr>
      </w:pPr>
    </w:p>
    <w:p w:rsidR="00953C6F" w:rsidRPr="006E09C6" w:rsidRDefault="00953C6F" w:rsidP="00953C6F">
      <w:pPr>
        <w:jc w:val="both"/>
        <w:rPr>
          <w:rFonts w:ascii="Garamond" w:hAnsi="Garamond" w:cs="Arial"/>
          <w:noProof/>
        </w:rPr>
      </w:pPr>
    </w:p>
    <w:p w:rsidR="00953C6F" w:rsidRPr="006E09C6" w:rsidRDefault="00953C6F" w:rsidP="00953C6F">
      <w:pPr>
        <w:jc w:val="both"/>
        <w:rPr>
          <w:rFonts w:ascii="Garamond" w:hAnsi="Garamond" w:cs="Arial"/>
          <w:noProof/>
        </w:rPr>
      </w:pPr>
    </w:p>
    <w:sdt>
      <w:sdtPr>
        <w:rPr>
          <w:rFonts w:ascii="Garamond" w:eastAsia="MS Mincho" w:hAnsi="Garamond" w:cs="Times New Roman"/>
          <w:noProof/>
          <w:lang w:eastAsia="ja-JP"/>
        </w:rPr>
        <w:id w:val="1250242059"/>
        <w:docPartObj>
          <w:docPartGallery w:val="Table of Contents"/>
          <w:docPartUnique/>
        </w:docPartObj>
      </w:sdtPr>
      <w:sdtEndPr>
        <w:rPr>
          <w:b/>
          <w:bCs/>
        </w:rPr>
      </w:sdtEndPr>
      <w:sdtContent>
        <w:p w:rsidR="00523079" w:rsidRPr="006E09C6" w:rsidRDefault="001D7D4D" w:rsidP="00953C6F">
          <w:pPr>
            <w:keepNext/>
            <w:keepLines/>
            <w:spacing w:after="400" w:line="300" w:lineRule="auto"/>
            <w:jc w:val="both"/>
            <w:rPr>
              <w:rFonts w:ascii="Garamond" w:eastAsia="MS Gothic" w:hAnsi="Garamond" w:cs="Times New Roman"/>
              <w:noProof/>
              <w:lang w:eastAsia="ja-JP"/>
            </w:rPr>
          </w:pPr>
          <w:r w:rsidRPr="006E09C6">
            <w:rPr>
              <w:rFonts w:ascii="Garamond" w:eastAsia="MS Gothic" w:hAnsi="Garamond" w:cs="Times New Roman"/>
              <w:noProof/>
              <w:lang w:eastAsia="ja-JP"/>
            </w:rPr>
            <w:t>Sadržaj</w:t>
          </w:r>
        </w:p>
        <w:p w:rsidR="00093F0B" w:rsidRPr="006E09C6" w:rsidRDefault="004647A9">
          <w:pPr>
            <w:pStyle w:val="TOC1"/>
            <w:tabs>
              <w:tab w:val="right" w:leader="dot" w:pos="9019"/>
            </w:tabs>
            <w:rPr>
              <w:rFonts w:eastAsiaTheme="minorEastAsia"/>
              <w:noProof/>
            </w:rPr>
          </w:pPr>
          <w:r w:rsidRPr="006E09C6">
            <w:rPr>
              <w:rFonts w:ascii="Garamond" w:eastAsia="MS Mincho" w:hAnsi="Garamond" w:cs="Times New Roman"/>
              <w:b/>
              <w:bCs/>
              <w:noProof/>
              <w:lang w:eastAsia="ja-JP"/>
            </w:rPr>
            <w:fldChar w:fldCharType="begin"/>
          </w:r>
          <w:r w:rsidR="00523079" w:rsidRPr="006E09C6">
            <w:rPr>
              <w:rFonts w:ascii="Garamond" w:eastAsia="MS Mincho" w:hAnsi="Garamond" w:cs="Times New Roman"/>
              <w:b/>
              <w:bCs/>
              <w:noProof/>
              <w:lang w:eastAsia="ja-JP"/>
            </w:rPr>
            <w:instrText xml:space="preserve"> TOC \o "1-1" \h \z \u </w:instrText>
          </w:r>
          <w:r w:rsidRPr="006E09C6">
            <w:rPr>
              <w:rFonts w:ascii="Garamond" w:eastAsia="MS Mincho" w:hAnsi="Garamond" w:cs="Times New Roman"/>
              <w:b/>
              <w:bCs/>
              <w:noProof/>
              <w:lang w:eastAsia="ja-JP"/>
            </w:rPr>
            <w:fldChar w:fldCharType="separate"/>
          </w:r>
          <w:hyperlink w:anchor="_Toc384118646" w:history="1">
            <w:r w:rsidR="00093F0B" w:rsidRPr="006E09C6">
              <w:rPr>
                <w:rStyle w:val="Hyperlink"/>
                <w:rFonts w:ascii="Garamond" w:eastAsia="MS Gothic" w:hAnsi="Garamond" w:cs="Times New Roman"/>
                <w:noProof/>
                <w:color w:val="auto"/>
                <w:lang w:eastAsia="ja-JP"/>
              </w:rPr>
              <w:t>Metodologija</w:t>
            </w:r>
            <w:r w:rsidR="00093F0B" w:rsidRPr="006E09C6">
              <w:rPr>
                <w:noProof/>
                <w:webHidden/>
              </w:rPr>
              <w:tab/>
            </w:r>
            <w:r w:rsidRPr="006E09C6">
              <w:rPr>
                <w:noProof/>
                <w:webHidden/>
              </w:rPr>
              <w:fldChar w:fldCharType="begin"/>
            </w:r>
            <w:r w:rsidR="00093F0B" w:rsidRPr="006E09C6">
              <w:rPr>
                <w:noProof/>
                <w:webHidden/>
              </w:rPr>
              <w:instrText xml:space="preserve"> PAGEREF _Toc384118646 \h </w:instrText>
            </w:r>
            <w:r w:rsidRPr="006E09C6">
              <w:rPr>
                <w:noProof/>
                <w:webHidden/>
              </w:rPr>
            </w:r>
            <w:r w:rsidRPr="006E09C6">
              <w:rPr>
                <w:noProof/>
                <w:webHidden/>
              </w:rPr>
              <w:fldChar w:fldCharType="separate"/>
            </w:r>
            <w:r w:rsidR="00093F0B" w:rsidRPr="006E09C6">
              <w:rPr>
                <w:noProof/>
                <w:webHidden/>
              </w:rPr>
              <w:t>3</w:t>
            </w:r>
            <w:r w:rsidRPr="006E09C6">
              <w:rPr>
                <w:noProof/>
                <w:webHidden/>
              </w:rPr>
              <w:fldChar w:fldCharType="end"/>
            </w:r>
          </w:hyperlink>
        </w:p>
        <w:p w:rsidR="00093F0B" w:rsidRPr="006E09C6" w:rsidRDefault="004647A9">
          <w:pPr>
            <w:pStyle w:val="TOC1"/>
            <w:tabs>
              <w:tab w:val="right" w:leader="dot" w:pos="9019"/>
            </w:tabs>
            <w:rPr>
              <w:rFonts w:eastAsiaTheme="minorEastAsia"/>
              <w:noProof/>
            </w:rPr>
          </w:pPr>
          <w:hyperlink w:anchor="_Toc384118647" w:history="1">
            <w:r w:rsidR="00093F0B" w:rsidRPr="006E09C6">
              <w:rPr>
                <w:rStyle w:val="Hyperlink"/>
                <w:rFonts w:ascii="Garamond" w:eastAsia="MS Gothic" w:hAnsi="Garamond" w:cs="Times New Roman"/>
                <w:noProof/>
                <w:color w:val="auto"/>
                <w:lang w:eastAsia="ja-JP"/>
              </w:rPr>
              <w:t>Socio-demografska struktura ispitanika</w:t>
            </w:r>
            <w:r w:rsidR="00093F0B" w:rsidRPr="006E09C6">
              <w:rPr>
                <w:noProof/>
                <w:webHidden/>
              </w:rPr>
              <w:tab/>
            </w:r>
            <w:r w:rsidRPr="006E09C6">
              <w:rPr>
                <w:noProof/>
                <w:webHidden/>
              </w:rPr>
              <w:fldChar w:fldCharType="begin"/>
            </w:r>
            <w:r w:rsidR="00093F0B" w:rsidRPr="006E09C6">
              <w:rPr>
                <w:noProof/>
                <w:webHidden/>
              </w:rPr>
              <w:instrText xml:space="preserve"> PAGEREF _Toc384118647 \h </w:instrText>
            </w:r>
            <w:r w:rsidRPr="006E09C6">
              <w:rPr>
                <w:noProof/>
                <w:webHidden/>
              </w:rPr>
            </w:r>
            <w:r w:rsidRPr="006E09C6">
              <w:rPr>
                <w:noProof/>
                <w:webHidden/>
              </w:rPr>
              <w:fldChar w:fldCharType="separate"/>
            </w:r>
            <w:r w:rsidR="00093F0B" w:rsidRPr="006E09C6">
              <w:rPr>
                <w:noProof/>
                <w:webHidden/>
              </w:rPr>
              <w:t>3</w:t>
            </w:r>
            <w:r w:rsidRPr="006E09C6">
              <w:rPr>
                <w:noProof/>
                <w:webHidden/>
              </w:rPr>
              <w:fldChar w:fldCharType="end"/>
            </w:r>
          </w:hyperlink>
        </w:p>
        <w:p w:rsidR="00093F0B" w:rsidRPr="006E09C6" w:rsidRDefault="004647A9">
          <w:pPr>
            <w:pStyle w:val="TOC1"/>
            <w:tabs>
              <w:tab w:val="right" w:leader="dot" w:pos="9019"/>
            </w:tabs>
            <w:rPr>
              <w:rFonts w:eastAsiaTheme="minorEastAsia"/>
              <w:noProof/>
            </w:rPr>
          </w:pPr>
          <w:hyperlink w:anchor="_Toc384118648" w:history="1">
            <w:r w:rsidR="00093F0B" w:rsidRPr="006E09C6">
              <w:rPr>
                <w:rStyle w:val="Hyperlink"/>
                <w:rFonts w:ascii="Garamond" w:eastAsia="MS Gothic" w:hAnsi="Garamond" w:cs="Times New Roman"/>
                <w:noProof/>
                <w:color w:val="auto"/>
                <w:lang w:eastAsia="ja-JP"/>
              </w:rPr>
              <w:t>Viđenje i očekivanja od medija</w:t>
            </w:r>
            <w:r w:rsidR="00093F0B" w:rsidRPr="006E09C6">
              <w:rPr>
                <w:noProof/>
                <w:webHidden/>
              </w:rPr>
              <w:tab/>
            </w:r>
            <w:r w:rsidRPr="006E09C6">
              <w:rPr>
                <w:noProof/>
                <w:webHidden/>
              </w:rPr>
              <w:fldChar w:fldCharType="begin"/>
            </w:r>
            <w:r w:rsidR="00093F0B" w:rsidRPr="006E09C6">
              <w:rPr>
                <w:noProof/>
                <w:webHidden/>
              </w:rPr>
              <w:instrText xml:space="preserve"> PAGEREF _Toc384118648 \h </w:instrText>
            </w:r>
            <w:r w:rsidRPr="006E09C6">
              <w:rPr>
                <w:noProof/>
                <w:webHidden/>
              </w:rPr>
            </w:r>
            <w:r w:rsidRPr="006E09C6">
              <w:rPr>
                <w:noProof/>
                <w:webHidden/>
              </w:rPr>
              <w:fldChar w:fldCharType="separate"/>
            </w:r>
            <w:r w:rsidR="00093F0B" w:rsidRPr="006E09C6">
              <w:rPr>
                <w:noProof/>
                <w:webHidden/>
              </w:rPr>
              <w:t>5</w:t>
            </w:r>
            <w:r w:rsidRPr="006E09C6">
              <w:rPr>
                <w:noProof/>
                <w:webHidden/>
              </w:rPr>
              <w:fldChar w:fldCharType="end"/>
            </w:r>
          </w:hyperlink>
        </w:p>
        <w:p w:rsidR="00093F0B" w:rsidRPr="006E09C6" w:rsidRDefault="004647A9">
          <w:pPr>
            <w:pStyle w:val="TOC1"/>
            <w:tabs>
              <w:tab w:val="right" w:leader="dot" w:pos="9019"/>
            </w:tabs>
            <w:rPr>
              <w:rFonts w:eastAsiaTheme="minorEastAsia"/>
              <w:noProof/>
            </w:rPr>
          </w:pPr>
          <w:hyperlink w:anchor="_Toc384118649" w:history="1">
            <w:r w:rsidR="00093F0B" w:rsidRPr="006E09C6">
              <w:rPr>
                <w:rStyle w:val="Hyperlink"/>
                <w:rFonts w:ascii="Garamond" w:eastAsia="MS Gothic" w:hAnsi="Garamond" w:cs="Times New Roman"/>
                <w:noProof/>
                <w:color w:val="auto"/>
                <w:lang w:eastAsia="ja-JP"/>
              </w:rPr>
              <w:t>Spremnost na davanje i stavovi o nezavisnom Medijskom fondu</w:t>
            </w:r>
            <w:r w:rsidR="00093F0B" w:rsidRPr="006E09C6">
              <w:rPr>
                <w:noProof/>
                <w:webHidden/>
              </w:rPr>
              <w:tab/>
            </w:r>
            <w:r w:rsidRPr="006E09C6">
              <w:rPr>
                <w:noProof/>
                <w:webHidden/>
              </w:rPr>
              <w:fldChar w:fldCharType="begin"/>
            </w:r>
            <w:r w:rsidR="00093F0B" w:rsidRPr="006E09C6">
              <w:rPr>
                <w:noProof/>
                <w:webHidden/>
              </w:rPr>
              <w:instrText xml:space="preserve"> PAGEREF _Toc384118649 \h </w:instrText>
            </w:r>
            <w:r w:rsidRPr="006E09C6">
              <w:rPr>
                <w:noProof/>
                <w:webHidden/>
              </w:rPr>
            </w:r>
            <w:r w:rsidRPr="006E09C6">
              <w:rPr>
                <w:noProof/>
                <w:webHidden/>
              </w:rPr>
              <w:fldChar w:fldCharType="separate"/>
            </w:r>
            <w:r w:rsidR="00093F0B" w:rsidRPr="006E09C6">
              <w:rPr>
                <w:noProof/>
                <w:webHidden/>
              </w:rPr>
              <w:t>9</w:t>
            </w:r>
            <w:r w:rsidRPr="006E09C6">
              <w:rPr>
                <w:noProof/>
                <w:webHidden/>
              </w:rPr>
              <w:fldChar w:fldCharType="end"/>
            </w:r>
          </w:hyperlink>
        </w:p>
        <w:p w:rsidR="00093F0B" w:rsidRPr="006E09C6" w:rsidRDefault="004647A9">
          <w:pPr>
            <w:pStyle w:val="TOC1"/>
            <w:tabs>
              <w:tab w:val="right" w:leader="dot" w:pos="9019"/>
            </w:tabs>
            <w:rPr>
              <w:rFonts w:eastAsiaTheme="minorEastAsia"/>
              <w:noProof/>
            </w:rPr>
          </w:pPr>
          <w:hyperlink w:anchor="_Toc384118650" w:history="1">
            <w:r w:rsidR="00093F0B" w:rsidRPr="006E09C6">
              <w:rPr>
                <w:rStyle w:val="Hyperlink"/>
                <w:rFonts w:ascii="Garamond" w:eastAsia="MS Gothic" w:hAnsi="Garamond" w:cs="Times New Roman"/>
                <w:noProof/>
                <w:color w:val="auto"/>
                <w:lang w:eastAsia="ja-JP"/>
              </w:rPr>
              <w:t>Zaključak</w:t>
            </w:r>
            <w:r w:rsidR="00093F0B" w:rsidRPr="006E09C6">
              <w:rPr>
                <w:noProof/>
                <w:webHidden/>
              </w:rPr>
              <w:tab/>
            </w:r>
            <w:r w:rsidRPr="006E09C6">
              <w:rPr>
                <w:noProof/>
                <w:webHidden/>
              </w:rPr>
              <w:fldChar w:fldCharType="begin"/>
            </w:r>
            <w:r w:rsidR="00093F0B" w:rsidRPr="006E09C6">
              <w:rPr>
                <w:noProof/>
                <w:webHidden/>
              </w:rPr>
              <w:instrText xml:space="preserve"> PAGEREF _Toc384118650 \h </w:instrText>
            </w:r>
            <w:r w:rsidRPr="006E09C6">
              <w:rPr>
                <w:noProof/>
                <w:webHidden/>
              </w:rPr>
            </w:r>
            <w:r w:rsidRPr="006E09C6">
              <w:rPr>
                <w:noProof/>
                <w:webHidden/>
              </w:rPr>
              <w:fldChar w:fldCharType="separate"/>
            </w:r>
            <w:r w:rsidR="00093F0B" w:rsidRPr="006E09C6">
              <w:rPr>
                <w:noProof/>
                <w:webHidden/>
              </w:rPr>
              <w:t>13</w:t>
            </w:r>
            <w:r w:rsidRPr="006E09C6">
              <w:rPr>
                <w:noProof/>
                <w:webHidden/>
              </w:rPr>
              <w:fldChar w:fldCharType="end"/>
            </w:r>
          </w:hyperlink>
        </w:p>
        <w:p w:rsidR="00093F0B" w:rsidRPr="006E09C6" w:rsidRDefault="004647A9">
          <w:pPr>
            <w:pStyle w:val="TOC1"/>
            <w:tabs>
              <w:tab w:val="right" w:leader="dot" w:pos="9019"/>
            </w:tabs>
            <w:rPr>
              <w:rFonts w:eastAsiaTheme="minorEastAsia"/>
              <w:noProof/>
            </w:rPr>
          </w:pPr>
          <w:hyperlink w:anchor="_Toc384118651" w:history="1">
            <w:r w:rsidR="00093F0B" w:rsidRPr="006E09C6">
              <w:rPr>
                <w:rStyle w:val="Hyperlink"/>
                <w:rFonts w:ascii="Garamond" w:eastAsia="MS Gothic" w:hAnsi="Garamond" w:cs="Times New Roman"/>
                <w:noProof/>
                <w:color w:val="auto"/>
                <w:lang w:eastAsia="ja-JP"/>
              </w:rPr>
              <w:t>Istraživanje sa predstavnicima medija</w:t>
            </w:r>
            <w:r w:rsidR="00093F0B" w:rsidRPr="006E09C6">
              <w:rPr>
                <w:noProof/>
                <w:webHidden/>
              </w:rPr>
              <w:tab/>
            </w:r>
            <w:r w:rsidRPr="006E09C6">
              <w:rPr>
                <w:noProof/>
                <w:webHidden/>
              </w:rPr>
              <w:fldChar w:fldCharType="begin"/>
            </w:r>
            <w:r w:rsidR="00093F0B" w:rsidRPr="006E09C6">
              <w:rPr>
                <w:noProof/>
                <w:webHidden/>
              </w:rPr>
              <w:instrText xml:space="preserve"> PAGEREF _Toc384118651 \h </w:instrText>
            </w:r>
            <w:r w:rsidRPr="006E09C6">
              <w:rPr>
                <w:noProof/>
                <w:webHidden/>
              </w:rPr>
            </w:r>
            <w:r w:rsidRPr="006E09C6">
              <w:rPr>
                <w:noProof/>
                <w:webHidden/>
              </w:rPr>
              <w:fldChar w:fldCharType="separate"/>
            </w:r>
            <w:r w:rsidR="00093F0B" w:rsidRPr="006E09C6">
              <w:rPr>
                <w:noProof/>
                <w:webHidden/>
              </w:rPr>
              <w:t>15</w:t>
            </w:r>
            <w:r w:rsidRPr="006E09C6">
              <w:rPr>
                <w:noProof/>
                <w:webHidden/>
              </w:rPr>
              <w:fldChar w:fldCharType="end"/>
            </w:r>
          </w:hyperlink>
        </w:p>
        <w:p w:rsidR="00093F0B" w:rsidRPr="006E09C6" w:rsidRDefault="004647A9">
          <w:pPr>
            <w:pStyle w:val="TOC1"/>
            <w:tabs>
              <w:tab w:val="right" w:leader="dot" w:pos="9019"/>
            </w:tabs>
            <w:rPr>
              <w:rFonts w:eastAsiaTheme="minorEastAsia"/>
              <w:noProof/>
            </w:rPr>
          </w:pPr>
          <w:hyperlink w:anchor="_Toc384118652" w:history="1">
            <w:r w:rsidR="00093F0B" w:rsidRPr="006E09C6">
              <w:rPr>
                <w:rStyle w:val="Hyperlink"/>
                <w:rFonts w:ascii="Garamond" w:eastAsia="MS Gothic" w:hAnsi="Garamond" w:cs="Times New Roman"/>
                <w:noProof/>
                <w:color w:val="auto"/>
                <w:lang w:eastAsia="ja-JP"/>
              </w:rPr>
              <w:t>Rezultati istraživanja sa predstavnicima medija</w:t>
            </w:r>
            <w:r w:rsidR="00093F0B" w:rsidRPr="006E09C6">
              <w:rPr>
                <w:noProof/>
                <w:webHidden/>
              </w:rPr>
              <w:tab/>
            </w:r>
            <w:r w:rsidRPr="006E09C6">
              <w:rPr>
                <w:noProof/>
                <w:webHidden/>
              </w:rPr>
              <w:fldChar w:fldCharType="begin"/>
            </w:r>
            <w:r w:rsidR="00093F0B" w:rsidRPr="006E09C6">
              <w:rPr>
                <w:noProof/>
                <w:webHidden/>
              </w:rPr>
              <w:instrText xml:space="preserve"> PAGEREF _Toc384118652 \h </w:instrText>
            </w:r>
            <w:r w:rsidRPr="006E09C6">
              <w:rPr>
                <w:noProof/>
                <w:webHidden/>
              </w:rPr>
            </w:r>
            <w:r w:rsidRPr="006E09C6">
              <w:rPr>
                <w:noProof/>
                <w:webHidden/>
              </w:rPr>
              <w:fldChar w:fldCharType="separate"/>
            </w:r>
            <w:r w:rsidR="00093F0B" w:rsidRPr="006E09C6">
              <w:rPr>
                <w:noProof/>
                <w:webHidden/>
              </w:rPr>
              <w:t>16</w:t>
            </w:r>
            <w:r w:rsidRPr="006E09C6">
              <w:rPr>
                <w:noProof/>
                <w:webHidden/>
              </w:rPr>
              <w:fldChar w:fldCharType="end"/>
            </w:r>
          </w:hyperlink>
        </w:p>
        <w:p w:rsidR="00523079" w:rsidRPr="006E09C6" w:rsidRDefault="004647A9" w:rsidP="00953C6F">
          <w:pPr>
            <w:spacing w:after="320" w:line="300" w:lineRule="auto"/>
            <w:jc w:val="both"/>
            <w:rPr>
              <w:rFonts w:ascii="Garamond" w:eastAsia="MS Mincho" w:hAnsi="Garamond" w:cs="Times New Roman"/>
              <w:b/>
              <w:bCs/>
              <w:noProof/>
              <w:lang w:eastAsia="ja-JP"/>
            </w:rPr>
          </w:pPr>
          <w:r w:rsidRPr="006E09C6">
            <w:rPr>
              <w:rFonts w:ascii="Garamond" w:eastAsia="MS Mincho" w:hAnsi="Garamond" w:cs="Times New Roman"/>
              <w:b/>
              <w:bCs/>
              <w:noProof/>
              <w:lang w:eastAsia="ja-JP"/>
            </w:rPr>
            <w:fldChar w:fldCharType="end"/>
          </w:r>
        </w:p>
      </w:sdtContent>
    </w:sdt>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523079" w:rsidRPr="006E09C6" w:rsidRDefault="00523079" w:rsidP="00953C6F">
      <w:pPr>
        <w:jc w:val="both"/>
        <w:rPr>
          <w:rFonts w:ascii="Garamond" w:hAnsi="Garamond" w:cs="Arial"/>
          <w:noProof/>
        </w:rPr>
      </w:pPr>
    </w:p>
    <w:p w:rsidR="000921C1" w:rsidRPr="006E09C6" w:rsidRDefault="000921C1" w:rsidP="00953C6F">
      <w:pPr>
        <w:jc w:val="both"/>
        <w:rPr>
          <w:rFonts w:ascii="Garamond" w:hAnsi="Garamond" w:cs="Arial"/>
          <w:noProof/>
        </w:rPr>
      </w:pPr>
    </w:p>
    <w:p w:rsidR="001D7D4D" w:rsidRPr="006E09C6" w:rsidRDefault="001D7D4D" w:rsidP="00953C6F">
      <w:pPr>
        <w:jc w:val="both"/>
        <w:rPr>
          <w:rFonts w:ascii="Garamond" w:eastAsia="MS Gothic" w:hAnsi="Garamond" w:cs="Times New Roman"/>
          <w:noProof/>
          <w:lang w:eastAsia="ja-JP"/>
        </w:rPr>
      </w:pPr>
      <w:r w:rsidRPr="006E09C6">
        <w:rPr>
          <w:rFonts w:ascii="Garamond" w:eastAsia="MS Gothic" w:hAnsi="Garamond" w:cs="Times New Roman"/>
          <w:noProof/>
          <w:lang w:eastAsia="ja-JP"/>
        </w:rPr>
        <w:br w:type="page"/>
      </w:r>
    </w:p>
    <w:p w:rsidR="00523079" w:rsidRPr="006E09C6" w:rsidRDefault="00523079" w:rsidP="00953C6F">
      <w:pPr>
        <w:keepNext/>
        <w:keepLines/>
        <w:pBdr>
          <w:bottom w:val="single" w:sz="8" w:space="0" w:color="FCDBDB"/>
        </w:pBdr>
        <w:spacing w:line="300" w:lineRule="auto"/>
        <w:jc w:val="both"/>
        <w:outlineLvl w:val="0"/>
        <w:rPr>
          <w:rFonts w:ascii="Garamond" w:eastAsia="MS Gothic" w:hAnsi="Garamond" w:cs="Times New Roman"/>
          <w:b/>
          <w:noProof/>
          <w:sz w:val="28"/>
          <w:szCs w:val="28"/>
          <w:lang w:eastAsia="ja-JP"/>
        </w:rPr>
      </w:pPr>
      <w:bookmarkStart w:id="0" w:name="_Toc242942528"/>
      <w:bookmarkStart w:id="1" w:name="_Toc342399970"/>
      <w:bookmarkStart w:id="2" w:name="_Toc384118646"/>
      <w:r w:rsidRPr="006E09C6">
        <w:rPr>
          <w:rFonts w:ascii="Garamond" w:eastAsia="MS Gothic" w:hAnsi="Garamond" w:cs="Times New Roman"/>
          <w:b/>
          <w:noProof/>
          <w:sz w:val="28"/>
          <w:szCs w:val="28"/>
          <w:lang w:eastAsia="ja-JP"/>
        </w:rPr>
        <w:lastRenderedPageBreak/>
        <w:t>Met</w:t>
      </w:r>
      <w:bookmarkEnd w:id="0"/>
      <w:bookmarkEnd w:id="1"/>
      <w:r w:rsidRPr="006E09C6">
        <w:rPr>
          <w:rFonts w:ascii="Garamond" w:eastAsia="MS Gothic" w:hAnsi="Garamond" w:cs="Times New Roman"/>
          <w:b/>
          <w:noProof/>
          <w:sz w:val="28"/>
          <w:szCs w:val="28"/>
          <w:lang w:eastAsia="ja-JP"/>
        </w:rPr>
        <w:t>odologija</w:t>
      </w:r>
      <w:bookmarkEnd w:id="2"/>
    </w:p>
    <w:p w:rsidR="00523079" w:rsidRPr="006E09C6" w:rsidRDefault="00523079" w:rsidP="00953C6F">
      <w:pPr>
        <w:jc w:val="both"/>
        <w:rPr>
          <w:rFonts w:ascii="Garamond" w:hAnsi="Garamond" w:cs="Arial"/>
          <w:noProof/>
        </w:rPr>
      </w:pPr>
    </w:p>
    <w:p w:rsidR="00093F0B" w:rsidRPr="006E09C6" w:rsidRDefault="00093F0B" w:rsidP="00953C6F">
      <w:pPr>
        <w:jc w:val="both"/>
        <w:rPr>
          <w:rFonts w:ascii="Garamond" w:hAnsi="Garamond" w:cs="Arial"/>
          <w:noProof/>
        </w:rPr>
      </w:pPr>
    </w:p>
    <w:p w:rsidR="00523079" w:rsidRPr="006E09C6" w:rsidRDefault="00FF0078" w:rsidP="00953C6F">
      <w:pPr>
        <w:jc w:val="both"/>
        <w:rPr>
          <w:rFonts w:ascii="Garamond" w:hAnsi="Garamond" w:cs="Arial"/>
          <w:noProof/>
        </w:rPr>
      </w:pPr>
      <w:r w:rsidRPr="006E09C6">
        <w:rPr>
          <w:rFonts w:ascii="Garamond" w:hAnsi="Garamond" w:cs="Arial"/>
          <w:noProof/>
        </w:rPr>
        <w:t xml:space="preserve">Biro za društvena istraživanja (BIRODI) realizovao je za Media i reform centar Niš (MRCN), kao jednu od faza pri izradi „Studije izvodljivosti multidonatorskog fonda u Srbiji“, istraživanje o potrebama za postojanjem medijskog fonda, kao i vidjenjem </w:t>
      </w:r>
      <w:r w:rsidR="007026C4" w:rsidRPr="006E09C6">
        <w:rPr>
          <w:rFonts w:ascii="Garamond" w:hAnsi="Garamond" w:cs="Arial"/>
          <w:noProof/>
        </w:rPr>
        <w:t>njegove funkcije i oblasti delovanja od strane gradjana</w:t>
      </w:r>
      <w:r w:rsidR="00523079" w:rsidRPr="006E09C6">
        <w:rPr>
          <w:rFonts w:ascii="Garamond" w:hAnsi="Garamond" w:cs="Arial"/>
          <w:noProof/>
        </w:rPr>
        <w:t>. Izradu ove studije MRCN-u poverio je USAID  kroz program "Građansko društvo za budućnost" koji sprovodi Institut za održive zajednice (ISC).</w:t>
      </w:r>
    </w:p>
    <w:p w:rsidR="00523079" w:rsidRPr="006E09C6" w:rsidRDefault="00523079" w:rsidP="00953C6F">
      <w:pPr>
        <w:jc w:val="both"/>
        <w:rPr>
          <w:rFonts w:ascii="Garamond" w:hAnsi="Garamond" w:cs="Arial"/>
          <w:noProof/>
        </w:rPr>
      </w:pPr>
      <w:r w:rsidRPr="006E09C6">
        <w:rPr>
          <w:rFonts w:ascii="Garamond" w:hAnsi="Garamond" w:cs="Arial"/>
          <w:noProof/>
        </w:rPr>
        <w:t>Istraživanje je sprovedeno sa ciljem da identifikuje stavove gradjana o percepciji medija i vrstama informacija i sadržaja koji im nedostaju u postojećim medijima, kao i mogućnostima</w:t>
      </w:r>
      <w:r w:rsidR="00D35BB3" w:rsidRPr="006E09C6">
        <w:rPr>
          <w:rFonts w:ascii="Garamond" w:hAnsi="Garamond" w:cs="Arial"/>
          <w:noProof/>
        </w:rPr>
        <w:t>,</w:t>
      </w:r>
      <w:r w:rsidRPr="006E09C6">
        <w:rPr>
          <w:rFonts w:ascii="Garamond" w:hAnsi="Garamond" w:cs="Arial"/>
          <w:noProof/>
        </w:rPr>
        <w:t xml:space="preserve"> spremnosti </w:t>
      </w:r>
      <w:r w:rsidR="00D35BB3" w:rsidRPr="006E09C6">
        <w:rPr>
          <w:rFonts w:ascii="Garamond" w:hAnsi="Garamond" w:cs="Arial"/>
          <w:noProof/>
        </w:rPr>
        <w:t xml:space="preserve">i načinima </w:t>
      </w:r>
      <w:r w:rsidR="00DC37C9" w:rsidRPr="006E09C6">
        <w:rPr>
          <w:rFonts w:ascii="Garamond" w:hAnsi="Garamond" w:cs="Arial"/>
          <w:noProof/>
        </w:rPr>
        <w:t>z</w:t>
      </w:r>
      <w:r w:rsidRPr="006E09C6">
        <w:rPr>
          <w:rFonts w:ascii="Garamond" w:hAnsi="Garamond" w:cs="Arial"/>
          <w:noProof/>
        </w:rPr>
        <w:t>a donira</w:t>
      </w:r>
      <w:r w:rsidR="00D35BB3" w:rsidRPr="006E09C6">
        <w:rPr>
          <w:rFonts w:ascii="Garamond" w:hAnsi="Garamond" w:cs="Arial"/>
          <w:noProof/>
        </w:rPr>
        <w:t>nje</w:t>
      </w:r>
      <w:r w:rsidRPr="006E09C6">
        <w:rPr>
          <w:rFonts w:ascii="Garamond" w:hAnsi="Garamond" w:cs="Arial"/>
          <w:noProof/>
        </w:rPr>
        <w:t xml:space="preserve"> u nezavisni multidonorski fond koji bi </w:t>
      </w:r>
      <w:r w:rsidR="00DC37C9" w:rsidRPr="006E09C6">
        <w:rPr>
          <w:rFonts w:ascii="Garamond" w:hAnsi="Garamond" w:cs="Arial"/>
          <w:noProof/>
        </w:rPr>
        <w:t xml:space="preserve">su predstavljao podršku radu medija u Srbiji. </w:t>
      </w:r>
    </w:p>
    <w:p w:rsidR="00DA3B71" w:rsidRPr="006E09C6" w:rsidRDefault="00DA3B71" w:rsidP="00953C6F">
      <w:pPr>
        <w:jc w:val="both"/>
        <w:rPr>
          <w:rFonts w:ascii="Garamond" w:hAnsi="Garamond" w:cs="Arial"/>
          <w:noProof/>
        </w:rPr>
      </w:pPr>
      <w:r w:rsidRPr="006E09C6">
        <w:rPr>
          <w:rFonts w:ascii="Garamond" w:hAnsi="Garamond" w:cs="Arial"/>
          <w:noProof/>
        </w:rPr>
        <w:t>Kvantitativno istaživanje je rađeno korišćenjem on-line upitnika na portalu</w:t>
      </w:r>
      <w:r w:rsidR="008D6E9C" w:rsidRPr="006E09C6">
        <w:rPr>
          <w:rFonts w:ascii="Garamond" w:hAnsi="Garamond" w:cs="Arial"/>
          <w:noProof/>
        </w:rPr>
        <w:t xml:space="preserve"> Biroa za društvena istraživanja </w:t>
      </w:r>
      <w:r w:rsidRPr="006E09C6">
        <w:rPr>
          <w:rFonts w:ascii="Garamond" w:hAnsi="Garamond" w:cs="Arial"/>
          <w:noProof/>
        </w:rPr>
        <w:t xml:space="preserve">www.tvojstav.com. Istraživanje je radjeno početkom marta 2014. godine. Ciljna grupa su bili punoletni građani. Uzorak je obuhvatio </w:t>
      </w:r>
      <w:r w:rsidR="00D46456" w:rsidRPr="006E09C6">
        <w:rPr>
          <w:rFonts w:ascii="Garamond" w:hAnsi="Garamond" w:cs="Arial"/>
          <w:noProof/>
        </w:rPr>
        <w:t>1000</w:t>
      </w:r>
      <w:r w:rsidRPr="006E09C6">
        <w:rPr>
          <w:rFonts w:ascii="Garamond" w:hAnsi="Garamond" w:cs="Arial"/>
          <w:noProof/>
        </w:rPr>
        <w:t xml:space="preserve"> punoletnih građana na teritoriji Srbiji. </w:t>
      </w:r>
    </w:p>
    <w:p w:rsidR="00953C6F" w:rsidRPr="006E09C6" w:rsidRDefault="00953C6F" w:rsidP="00953C6F">
      <w:pPr>
        <w:keepNext/>
        <w:keepLines/>
        <w:pBdr>
          <w:bottom w:val="single" w:sz="8" w:space="0" w:color="FCDBDB"/>
        </w:pBdr>
        <w:spacing w:before="240" w:line="300" w:lineRule="auto"/>
        <w:jc w:val="both"/>
        <w:outlineLvl w:val="0"/>
        <w:rPr>
          <w:rFonts w:ascii="Garamond" w:eastAsia="MS Gothic" w:hAnsi="Garamond" w:cs="Times New Roman"/>
          <w:noProof/>
          <w:lang w:eastAsia="ja-JP"/>
        </w:rPr>
      </w:pPr>
      <w:bookmarkStart w:id="3" w:name="_Toc242942529"/>
      <w:bookmarkStart w:id="4" w:name="_Toc342399971"/>
    </w:p>
    <w:p w:rsidR="00D35BB3" w:rsidRPr="006E09C6" w:rsidRDefault="00D35BB3" w:rsidP="00953C6F">
      <w:pPr>
        <w:keepNext/>
        <w:keepLines/>
        <w:pBdr>
          <w:bottom w:val="single" w:sz="8" w:space="0" w:color="FCDBDB"/>
        </w:pBdr>
        <w:spacing w:before="240" w:line="300" w:lineRule="auto"/>
        <w:jc w:val="both"/>
        <w:outlineLvl w:val="0"/>
        <w:rPr>
          <w:rFonts w:ascii="Garamond" w:eastAsia="MS Gothic" w:hAnsi="Garamond" w:cs="Times New Roman"/>
          <w:b/>
          <w:noProof/>
          <w:sz w:val="28"/>
          <w:szCs w:val="28"/>
          <w:lang w:eastAsia="ja-JP"/>
        </w:rPr>
      </w:pPr>
      <w:bookmarkStart w:id="5" w:name="_Toc384118647"/>
      <w:r w:rsidRPr="006E09C6">
        <w:rPr>
          <w:rFonts w:ascii="Garamond" w:eastAsia="MS Gothic" w:hAnsi="Garamond" w:cs="Times New Roman"/>
          <w:b/>
          <w:noProof/>
          <w:sz w:val="28"/>
          <w:szCs w:val="28"/>
          <w:lang w:eastAsia="ja-JP"/>
        </w:rPr>
        <w:t>Socio-demogra</w:t>
      </w:r>
      <w:bookmarkEnd w:id="3"/>
      <w:bookmarkEnd w:id="4"/>
      <w:r w:rsidRPr="006E09C6">
        <w:rPr>
          <w:rFonts w:ascii="Garamond" w:eastAsia="MS Gothic" w:hAnsi="Garamond" w:cs="Times New Roman"/>
          <w:b/>
          <w:noProof/>
          <w:sz w:val="28"/>
          <w:szCs w:val="28"/>
          <w:lang w:eastAsia="ja-JP"/>
        </w:rPr>
        <w:t>fska struktura ispitanika</w:t>
      </w:r>
      <w:bookmarkEnd w:id="5"/>
      <w:r w:rsidRPr="006E09C6">
        <w:rPr>
          <w:rFonts w:ascii="Garamond" w:eastAsia="MS Gothic" w:hAnsi="Garamond" w:cs="Times New Roman"/>
          <w:b/>
          <w:noProof/>
          <w:sz w:val="28"/>
          <w:szCs w:val="28"/>
          <w:lang w:eastAsia="ja-JP"/>
        </w:rPr>
        <w:t xml:space="preserve"> </w:t>
      </w:r>
    </w:p>
    <w:p w:rsidR="00093F0B" w:rsidRPr="006E09C6" w:rsidRDefault="00093F0B" w:rsidP="00953C6F">
      <w:pPr>
        <w:jc w:val="both"/>
        <w:rPr>
          <w:rFonts w:ascii="Garamond" w:hAnsi="Garamond"/>
          <w:noProof/>
        </w:rPr>
      </w:pPr>
    </w:p>
    <w:p w:rsidR="00A60167" w:rsidRPr="006E09C6" w:rsidRDefault="00A60167" w:rsidP="00953C6F">
      <w:pPr>
        <w:jc w:val="both"/>
        <w:rPr>
          <w:rFonts w:ascii="Garamond" w:hAnsi="Garamond"/>
          <w:noProof/>
        </w:rPr>
      </w:pPr>
      <w:r w:rsidRPr="006E09C6">
        <w:rPr>
          <w:rFonts w:ascii="Garamond" w:hAnsi="Garamond"/>
          <w:noProof/>
        </w:rPr>
        <w:t xml:space="preserve">Uzorkom je obuhvaćeno </w:t>
      </w:r>
      <w:r w:rsidR="00EB3FDB" w:rsidRPr="006E09C6">
        <w:rPr>
          <w:rFonts w:ascii="Garamond" w:hAnsi="Garamond"/>
          <w:noProof/>
        </w:rPr>
        <w:t>1000</w:t>
      </w:r>
      <w:r w:rsidRPr="006E09C6">
        <w:rPr>
          <w:rFonts w:ascii="Garamond" w:hAnsi="Garamond"/>
          <w:noProof/>
        </w:rPr>
        <w:t xml:space="preserve"> ispitanika, od čega je </w:t>
      </w:r>
      <w:r w:rsidR="00744747" w:rsidRPr="006E09C6">
        <w:rPr>
          <w:rFonts w:ascii="Garamond" w:hAnsi="Garamond"/>
          <w:noProof/>
        </w:rPr>
        <w:t>40</w:t>
      </w:r>
      <w:r w:rsidRPr="006E09C6">
        <w:rPr>
          <w:rFonts w:ascii="Garamond" w:hAnsi="Garamond"/>
          <w:noProof/>
        </w:rPr>
        <w:t xml:space="preserve">,9% muškara i </w:t>
      </w:r>
      <w:r w:rsidR="00744747" w:rsidRPr="006E09C6">
        <w:rPr>
          <w:rFonts w:ascii="Garamond" w:hAnsi="Garamond"/>
          <w:noProof/>
        </w:rPr>
        <w:t>59</w:t>
      </w:r>
      <w:r w:rsidRPr="006E09C6">
        <w:rPr>
          <w:rFonts w:ascii="Garamond" w:hAnsi="Garamond"/>
          <w:noProof/>
        </w:rPr>
        <w:t>,1% žena. Žene kao ispitanici su dominirale u m</w:t>
      </w:r>
      <w:r w:rsidR="008D6E9C" w:rsidRPr="006E09C6">
        <w:rPr>
          <w:rFonts w:ascii="Garamond" w:hAnsi="Garamond"/>
          <w:noProof/>
        </w:rPr>
        <w:t>l</w:t>
      </w:r>
      <w:r w:rsidRPr="006E09C6">
        <w:rPr>
          <w:rFonts w:ascii="Garamond" w:hAnsi="Garamond"/>
          <w:noProof/>
        </w:rPr>
        <w:t>adjim starosnim kategorijama, dok je muškaraca bio više samo u kategoriji ispitanika sa više od 50 godina. (Grafikon 1)</w:t>
      </w:r>
    </w:p>
    <w:p w:rsidR="00A60167" w:rsidRPr="006E09C6" w:rsidRDefault="00A60167" w:rsidP="00953C6F">
      <w:pPr>
        <w:spacing w:after="0"/>
        <w:jc w:val="both"/>
        <w:rPr>
          <w:rFonts w:ascii="Garamond" w:hAnsi="Garamond"/>
          <w:noProof/>
        </w:rPr>
      </w:pPr>
      <w:r w:rsidRPr="006E09C6">
        <w:rPr>
          <w:rFonts w:ascii="Garamond" w:hAnsi="Garamond"/>
          <w:noProof/>
        </w:rPr>
        <w:t>Grafikon br.1 – Demografska struktura uzorka</w:t>
      </w:r>
      <w:r w:rsidR="008D6E9C" w:rsidRPr="006E09C6">
        <w:rPr>
          <w:rFonts w:ascii="Garamond" w:hAnsi="Garamond"/>
          <w:noProof/>
        </w:rPr>
        <w:t xml:space="preserve"> (u%)</w:t>
      </w:r>
    </w:p>
    <w:p w:rsidR="00423E39" w:rsidRPr="006E09C6" w:rsidRDefault="00423E39" w:rsidP="00953C6F">
      <w:pPr>
        <w:jc w:val="both"/>
        <w:rPr>
          <w:rFonts w:ascii="Garamond" w:hAnsi="Garamond"/>
          <w:noProof/>
        </w:rPr>
      </w:pPr>
      <w:r w:rsidRPr="006E09C6">
        <w:rPr>
          <w:rFonts w:ascii="Garamond" w:hAnsi="Garamond"/>
          <w:noProof/>
        </w:rPr>
        <w:drawing>
          <wp:inline distT="0" distB="0" distL="0" distR="0">
            <wp:extent cx="5486400" cy="26670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3E39" w:rsidRPr="006E09C6" w:rsidRDefault="00423E39" w:rsidP="00953C6F">
      <w:pPr>
        <w:jc w:val="both"/>
        <w:rPr>
          <w:rFonts w:ascii="Garamond" w:hAnsi="Garamond"/>
          <w:noProof/>
        </w:rPr>
      </w:pPr>
    </w:p>
    <w:p w:rsidR="00423E39" w:rsidRPr="006E09C6" w:rsidRDefault="00A60167" w:rsidP="00953C6F">
      <w:pPr>
        <w:jc w:val="both"/>
        <w:rPr>
          <w:rFonts w:ascii="Garamond" w:hAnsi="Garamond"/>
          <w:noProof/>
        </w:rPr>
      </w:pPr>
      <w:r w:rsidRPr="006E09C6">
        <w:rPr>
          <w:rFonts w:ascii="Garamond" w:hAnsi="Garamond"/>
          <w:noProof/>
        </w:rPr>
        <w:t>Geografska distribucija ispitanika data je u g</w:t>
      </w:r>
      <w:r w:rsidR="00DA3B71" w:rsidRPr="006E09C6">
        <w:rPr>
          <w:rFonts w:ascii="Garamond" w:hAnsi="Garamond"/>
          <w:noProof/>
        </w:rPr>
        <w:t>ra</w:t>
      </w:r>
      <w:r w:rsidRPr="006E09C6">
        <w:rPr>
          <w:rFonts w:ascii="Garamond" w:hAnsi="Garamond"/>
          <w:noProof/>
        </w:rPr>
        <w:t>fikonu br. 2.</w:t>
      </w:r>
      <w:r w:rsidR="00DA3B71" w:rsidRPr="006E09C6">
        <w:rPr>
          <w:rFonts w:ascii="Garamond" w:hAnsi="Garamond"/>
          <w:noProof/>
        </w:rPr>
        <w:t xml:space="preserve"> Najveći broj ispitanika, njih </w:t>
      </w:r>
      <w:r w:rsidR="000C3DFF" w:rsidRPr="006E09C6">
        <w:rPr>
          <w:rFonts w:ascii="Garamond" w:hAnsi="Garamond"/>
          <w:noProof/>
        </w:rPr>
        <w:t>oko četvrine</w:t>
      </w:r>
      <w:r w:rsidR="00DA3B71" w:rsidRPr="006E09C6">
        <w:rPr>
          <w:rFonts w:ascii="Garamond" w:hAnsi="Garamond"/>
          <w:noProof/>
        </w:rPr>
        <w:t xml:space="preserve"> (</w:t>
      </w:r>
      <w:r w:rsidR="000C3DFF" w:rsidRPr="006E09C6">
        <w:rPr>
          <w:rFonts w:ascii="Garamond" w:hAnsi="Garamond"/>
          <w:noProof/>
        </w:rPr>
        <w:t>24</w:t>
      </w:r>
      <w:r w:rsidR="004D3B9E" w:rsidRPr="006E09C6">
        <w:rPr>
          <w:rFonts w:ascii="Garamond" w:hAnsi="Garamond"/>
          <w:noProof/>
        </w:rPr>
        <w:t>,</w:t>
      </w:r>
      <w:r w:rsidR="000C3DFF" w:rsidRPr="006E09C6">
        <w:rPr>
          <w:rFonts w:ascii="Garamond" w:hAnsi="Garamond"/>
          <w:noProof/>
        </w:rPr>
        <w:t>7</w:t>
      </w:r>
      <w:r w:rsidR="004D3B9E" w:rsidRPr="006E09C6">
        <w:rPr>
          <w:rFonts w:ascii="Garamond" w:hAnsi="Garamond"/>
          <w:noProof/>
        </w:rPr>
        <w:t>%), živi na teriotoriji Beograda</w:t>
      </w:r>
      <w:r w:rsidR="00C47D7A" w:rsidRPr="006E09C6">
        <w:rPr>
          <w:rFonts w:ascii="Garamond" w:hAnsi="Garamond"/>
          <w:noProof/>
        </w:rPr>
        <w:t xml:space="preserve"> i </w:t>
      </w:r>
      <w:r w:rsidR="004D3B9E" w:rsidRPr="006E09C6">
        <w:rPr>
          <w:rFonts w:ascii="Garamond" w:hAnsi="Garamond"/>
          <w:noProof/>
        </w:rPr>
        <w:t>Vojvodini (2</w:t>
      </w:r>
      <w:r w:rsidR="000C3DFF" w:rsidRPr="006E09C6">
        <w:rPr>
          <w:rFonts w:ascii="Garamond" w:hAnsi="Garamond"/>
          <w:noProof/>
        </w:rPr>
        <w:t>3</w:t>
      </w:r>
      <w:r w:rsidR="004D3B9E" w:rsidRPr="006E09C6">
        <w:rPr>
          <w:rFonts w:ascii="Garamond" w:hAnsi="Garamond"/>
          <w:noProof/>
        </w:rPr>
        <w:t>,</w:t>
      </w:r>
      <w:r w:rsidR="000C3DFF" w:rsidRPr="006E09C6">
        <w:rPr>
          <w:rFonts w:ascii="Garamond" w:hAnsi="Garamond"/>
          <w:noProof/>
        </w:rPr>
        <w:t>6</w:t>
      </w:r>
      <w:r w:rsidR="004D3B9E" w:rsidRPr="006E09C6">
        <w:rPr>
          <w:rFonts w:ascii="Garamond" w:hAnsi="Garamond"/>
          <w:noProof/>
        </w:rPr>
        <w:t xml:space="preserve">%). </w:t>
      </w:r>
      <w:r w:rsidR="000C3DFF" w:rsidRPr="006E09C6">
        <w:rPr>
          <w:rFonts w:ascii="Garamond" w:hAnsi="Garamond"/>
          <w:noProof/>
        </w:rPr>
        <w:t>Ispitanici iz Centralne Srbije</w:t>
      </w:r>
    </w:p>
    <w:p w:rsidR="004D3B9E" w:rsidRPr="006E09C6" w:rsidRDefault="004D3B9E" w:rsidP="00953C6F">
      <w:pPr>
        <w:spacing w:after="0"/>
        <w:jc w:val="both"/>
        <w:rPr>
          <w:rFonts w:ascii="Garamond" w:hAnsi="Garamond"/>
          <w:noProof/>
        </w:rPr>
      </w:pPr>
      <w:r w:rsidRPr="006E09C6">
        <w:rPr>
          <w:rFonts w:ascii="Garamond" w:hAnsi="Garamond"/>
          <w:noProof/>
        </w:rPr>
        <w:lastRenderedPageBreak/>
        <w:t>Grafikon br.</w:t>
      </w:r>
      <w:r w:rsidR="00C47D7A" w:rsidRPr="006E09C6">
        <w:rPr>
          <w:rFonts w:ascii="Garamond" w:hAnsi="Garamond"/>
          <w:noProof/>
        </w:rPr>
        <w:t>2</w:t>
      </w:r>
      <w:r w:rsidRPr="006E09C6">
        <w:rPr>
          <w:rFonts w:ascii="Garamond" w:hAnsi="Garamond"/>
          <w:noProof/>
        </w:rPr>
        <w:t xml:space="preserve"> – Mesto stanovanja ispitanika</w:t>
      </w:r>
    </w:p>
    <w:p w:rsidR="00A60167" w:rsidRPr="006E09C6" w:rsidRDefault="003647E2" w:rsidP="00953C6F">
      <w:pPr>
        <w:jc w:val="both"/>
        <w:rPr>
          <w:rFonts w:ascii="Garamond" w:hAnsi="Garamond"/>
          <w:noProof/>
        </w:rPr>
      </w:pPr>
      <w:r w:rsidRPr="006E09C6">
        <w:rPr>
          <w:rFonts w:ascii="Garamond" w:hAnsi="Garamond"/>
          <w:noProof/>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0DFE" w:rsidRPr="006E09C6" w:rsidRDefault="00C20DFE" w:rsidP="00953C6F">
      <w:pPr>
        <w:jc w:val="both"/>
        <w:rPr>
          <w:rFonts w:ascii="Garamond" w:hAnsi="Garamond"/>
          <w:noProof/>
        </w:rPr>
      </w:pPr>
    </w:p>
    <w:p w:rsidR="00423E39" w:rsidRPr="006E09C6" w:rsidRDefault="004D3B9E" w:rsidP="00953C6F">
      <w:pPr>
        <w:jc w:val="both"/>
        <w:rPr>
          <w:rFonts w:ascii="Garamond" w:hAnsi="Garamond"/>
          <w:noProof/>
        </w:rPr>
      </w:pPr>
      <w:r w:rsidRPr="006E09C6">
        <w:rPr>
          <w:rFonts w:ascii="Garamond" w:hAnsi="Garamond"/>
          <w:noProof/>
        </w:rPr>
        <w:t>Najveći deo ispitanika čine stalno zaposleni (</w:t>
      </w:r>
      <w:r w:rsidR="00A872B2" w:rsidRPr="006E09C6">
        <w:rPr>
          <w:rFonts w:ascii="Garamond" w:hAnsi="Garamond"/>
          <w:noProof/>
        </w:rPr>
        <w:t>31.9</w:t>
      </w:r>
      <w:r w:rsidRPr="006E09C6">
        <w:rPr>
          <w:rFonts w:ascii="Garamond" w:hAnsi="Garamond"/>
          <w:noProof/>
        </w:rPr>
        <w:t>%), nezaposlenih je 23,</w:t>
      </w:r>
      <w:r w:rsidR="00A872B2" w:rsidRPr="006E09C6">
        <w:rPr>
          <w:rFonts w:ascii="Garamond" w:hAnsi="Garamond"/>
          <w:noProof/>
        </w:rPr>
        <w:t>1</w:t>
      </w:r>
      <w:r w:rsidRPr="006E09C6">
        <w:rPr>
          <w:rFonts w:ascii="Garamond" w:hAnsi="Garamond"/>
          <w:noProof/>
        </w:rPr>
        <w:t xml:space="preserve">%, a za njima slede studenti </w:t>
      </w:r>
      <w:r w:rsidR="00A872B2" w:rsidRPr="006E09C6">
        <w:rPr>
          <w:rFonts w:ascii="Garamond" w:hAnsi="Garamond"/>
          <w:noProof/>
        </w:rPr>
        <w:t xml:space="preserve">u oko </w:t>
      </w:r>
      <w:r w:rsidR="00A872B2" w:rsidRPr="006E09C6">
        <w:rPr>
          <w:rFonts w:ascii="Garamond" w:hAnsi="Garamond"/>
          <w:noProof/>
          <w:lang/>
        </w:rPr>
        <w:t>četvrtine ispitanika</w:t>
      </w:r>
      <w:r w:rsidRPr="006E09C6">
        <w:rPr>
          <w:rFonts w:ascii="Garamond" w:hAnsi="Garamond"/>
          <w:noProof/>
        </w:rPr>
        <w:t>(</w:t>
      </w:r>
      <w:r w:rsidR="00A872B2" w:rsidRPr="006E09C6">
        <w:rPr>
          <w:rFonts w:ascii="Garamond" w:hAnsi="Garamond"/>
          <w:noProof/>
        </w:rPr>
        <w:t>27.8</w:t>
      </w:r>
      <w:r w:rsidRPr="006E09C6">
        <w:rPr>
          <w:rFonts w:ascii="Garamond" w:hAnsi="Garamond"/>
          <w:noProof/>
        </w:rPr>
        <w:t>%) i zaposleni na određeno vreme (</w:t>
      </w:r>
      <w:r w:rsidR="00A872B2" w:rsidRPr="006E09C6">
        <w:rPr>
          <w:rFonts w:ascii="Garamond" w:hAnsi="Garamond"/>
          <w:noProof/>
        </w:rPr>
        <w:t>14,2</w:t>
      </w:r>
      <w:r w:rsidRPr="006E09C6">
        <w:rPr>
          <w:rFonts w:ascii="Garamond" w:hAnsi="Garamond"/>
          <w:noProof/>
        </w:rPr>
        <w:t>%). Posmatrajući prema profesionalnoj strukturi, najmanji udeo u uzor</w:t>
      </w:r>
      <w:r w:rsidR="00A872B2" w:rsidRPr="006E09C6">
        <w:rPr>
          <w:rFonts w:ascii="Garamond" w:hAnsi="Garamond"/>
          <w:noProof/>
        </w:rPr>
        <w:t>ku imali su penzioneri, njih 3</w:t>
      </w:r>
      <w:r w:rsidRPr="006E09C6">
        <w:rPr>
          <w:rFonts w:ascii="Garamond" w:hAnsi="Garamond"/>
          <w:noProof/>
        </w:rPr>
        <w:t xml:space="preserve">%. </w:t>
      </w:r>
    </w:p>
    <w:p w:rsidR="00093F0B" w:rsidRPr="006E09C6" w:rsidRDefault="00093F0B" w:rsidP="00953C6F">
      <w:pPr>
        <w:jc w:val="both"/>
        <w:rPr>
          <w:rFonts w:ascii="Garamond" w:hAnsi="Garamond"/>
          <w:noProof/>
        </w:rPr>
      </w:pPr>
    </w:p>
    <w:p w:rsidR="004D3B9E" w:rsidRPr="006E09C6" w:rsidRDefault="004D3B9E" w:rsidP="00953C6F">
      <w:pPr>
        <w:spacing w:after="0"/>
        <w:jc w:val="both"/>
        <w:rPr>
          <w:rFonts w:ascii="Garamond" w:hAnsi="Garamond"/>
          <w:noProof/>
        </w:rPr>
      </w:pPr>
      <w:r w:rsidRPr="006E09C6">
        <w:rPr>
          <w:rFonts w:ascii="Garamond" w:hAnsi="Garamond"/>
          <w:noProof/>
        </w:rPr>
        <w:t xml:space="preserve">Grafikon br.3 – Profesionalna struktura ispitanika </w:t>
      </w:r>
    </w:p>
    <w:p w:rsidR="001407F2" w:rsidRPr="006E09C6" w:rsidRDefault="001407F2" w:rsidP="00953C6F">
      <w:pPr>
        <w:jc w:val="both"/>
        <w:rPr>
          <w:rFonts w:ascii="Garamond" w:hAnsi="Garamond"/>
          <w:noProof/>
        </w:rPr>
      </w:pPr>
      <w:r w:rsidRPr="006E09C6">
        <w:rPr>
          <w:rFonts w:ascii="Garamond" w:hAnsi="Garamond"/>
          <w:noProof/>
        </w:rPr>
        <w:drawing>
          <wp:inline distT="0" distB="0" distL="0" distR="0">
            <wp:extent cx="5486400" cy="260985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3F0B" w:rsidRPr="006E09C6" w:rsidRDefault="00093F0B" w:rsidP="00953C6F">
      <w:pPr>
        <w:jc w:val="both"/>
        <w:rPr>
          <w:rFonts w:ascii="Garamond" w:hAnsi="Garamond"/>
          <w:noProof/>
        </w:rPr>
      </w:pPr>
    </w:p>
    <w:p w:rsidR="00D70EA3" w:rsidRPr="006E09C6" w:rsidRDefault="00D70EA3" w:rsidP="00953C6F">
      <w:pPr>
        <w:jc w:val="both"/>
        <w:rPr>
          <w:rFonts w:ascii="Garamond" w:hAnsi="Garamond"/>
          <w:noProof/>
        </w:rPr>
      </w:pPr>
      <w:r w:rsidRPr="006E09C6">
        <w:rPr>
          <w:rFonts w:ascii="Garamond" w:hAnsi="Garamond"/>
          <w:noProof/>
        </w:rPr>
        <w:t>Posmatrano prema prihodima</w:t>
      </w:r>
      <w:r w:rsidR="00AC59EA" w:rsidRPr="006E09C6">
        <w:rPr>
          <w:rFonts w:ascii="Garamond" w:hAnsi="Garamond"/>
          <w:noProof/>
        </w:rPr>
        <w:t>, trećina ispitanika (</w:t>
      </w:r>
      <w:r w:rsidR="009B0EF6" w:rsidRPr="006E09C6">
        <w:rPr>
          <w:rFonts w:ascii="Garamond" w:hAnsi="Garamond"/>
          <w:noProof/>
        </w:rPr>
        <w:t>47,4</w:t>
      </w:r>
      <w:r w:rsidR="00AC59EA" w:rsidRPr="006E09C6">
        <w:rPr>
          <w:rFonts w:ascii="Garamond" w:hAnsi="Garamond"/>
          <w:noProof/>
        </w:rPr>
        <w:t>%) je bez prihoda, što korespondira sa udelom ne</w:t>
      </w:r>
      <w:r w:rsidR="005725E3" w:rsidRPr="006E09C6">
        <w:rPr>
          <w:rFonts w:ascii="Garamond" w:hAnsi="Garamond"/>
          <w:noProof/>
        </w:rPr>
        <w:t>z</w:t>
      </w:r>
      <w:r w:rsidR="00AC59EA" w:rsidRPr="006E09C6">
        <w:rPr>
          <w:rFonts w:ascii="Garamond" w:hAnsi="Garamond"/>
          <w:noProof/>
        </w:rPr>
        <w:t xml:space="preserve">aposlenih i studenata u uzorku. Najveći deo ispitanika pripada kategoriji sa primanjima </w:t>
      </w:r>
      <w:r w:rsidR="005725E3" w:rsidRPr="006E09C6">
        <w:rPr>
          <w:rFonts w:ascii="Garamond" w:hAnsi="Garamond"/>
          <w:noProof/>
        </w:rPr>
        <w:t>koja su između 20,000 i 40,000 dinara (2</w:t>
      </w:r>
      <w:r w:rsidR="009B0EF6" w:rsidRPr="006E09C6">
        <w:rPr>
          <w:rFonts w:ascii="Garamond" w:hAnsi="Garamond"/>
          <w:noProof/>
        </w:rPr>
        <w:t>4</w:t>
      </w:r>
      <w:r w:rsidR="005725E3" w:rsidRPr="006E09C6">
        <w:rPr>
          <w:rFonts w:ascii="Garamond" w:hAnsi="Garamond"/>
          <w:noProof/>
        </w:rPr>
        <w:t>,</w:t>
      </w:r>
      <w:r w:rsidR="009B0EF6" w:rsidRPr="006E09C6">
        <w:rPr>
          <w:rFonts w:ascii="Garamond" w:hAnsi="Garamond"/>
          <w:noProof/>
        </w:rPr>
        <w:t>7</w:t>
      </w:r>
      <w:r w:rsidR="005725E3" w:rsidRPr="006E09C6">
        <w:rPr>
          <w:rFonts w:ascii="Garamond" w:hAnsi="Garamond"/>
          <w:noProof/>
        </w:rPr>
        <w:t>) i nešto manje kategoriji između 40,000 i 80,000 dinara</w:t>
      </w:r>
      <w:r w:rsidR="009B0EF6" w:rsidRPr="006E09C6">
        <w:rPr>
          <w:rFonts w:ascii="Garamond" w:hAnsi="Garamond"/>
          <w:noProof/>
        </w:rPr>
        <w:t xml:space="preserve"> (15,8%)</w:t>
      </w:r>
      <w:r w:rsidR="005725E3" w:rsidRPr="006E09C6">
        <w:rPr>
          <w:rFonts w:ascii="Garamond" w:hAnsi="Garamond"/>
          <w:noProof/>
        </w:rPr>
        <w:t xml:space="preserve">. Ispitanika sa iznadprosečnim primanjima za Srbiju ima ukupno </w:t>
      </w:r>
      <w:r w:rsidR="009B0EF6" w:rsidRPr="006E09C6">
        <w:rPr>
          <w:rFonts w:ascii="Garamond" w:hAnsi="Garamond"/>
          <w:noProof/>
        </w:rPr>
        <w:t>2,1</w:t>
      </w:r>
      <w:r w:rsidR="005725E3" w:rsidRPr="006E09C6">
        <w:rPr>
          <w:rFonts w:ascii="Garamond" w:hAnsi="Garamond"/>
          <w:noProof/>
        </w:rPr>
        <w:t xml:space="preserve">%. </w:t>
      </w:r>
    </w:p>
    <w:p w:rsidR="00D70EA3" w:rsidRPr="006E09C6" w:rsidRDefault="00AC59EA" w:rsidP="00953C6F">
      <w:pPr>
        <w:spacing w:after="0"/>
        <w:jc w:val="both"/>
        <w:rPr>
          <w:rFonts w:ascii="Garamond" w:hAnsi="Garamond"/>
          <w:noProof/>
        </w:rPr>
      </w:pPr>
      <w:r w:rsidRPr="006E09C6">
        <w:rPr>
          <w:rFonts w:ascii="Garamond" w:hAnsi="Garamond"/>
          <w:noProof/>
        </w:rPr>
        <w:lastRenderedPageBreak/>
        <w:t>Grafikon br.4 - Mesečni prihodi ispitanika</w:t>
      </w:r>
    </w:p>
    <w:p w:rsidR="00D70EA3" w:rsidRPr="006E09C6" w:rsidRDefault="00AC59EA" w:rsidP="00953C6F">
      <w:pPr>
        <w:jc w:val="both"/>
        <w:rPr>
          <w:rFonts w:ascii="Garamond" w:hAnsi="Garamond"/>
          <w:noProof/>
        </w:rPr>
      </w:pPr>
      <w:r w:rsidRPr="006E09C6">
        <w:rPr>
          <w:rFonts w:ascii="Garamond" w:hAnsi="Garamond"/>
          <w:noProof/>
        </w:rPr>
        <w:drawing>
          <wp:inline distT="0" distB="0" distL="0" distR="0">
            <wp:extent cx="5486400" cy="27336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25E3" w:rsidRPr="006E09C6" w:rsidRDefault="005725E3" w:rsidP="00953C6F">
      <w:pPr>
        <w:jc w:val="both"/>
        <w:rPr>
          <w:rFonts w:ascii="Garamond" w:hAnsi="Garamond"/>
          <w:noProof/>
        </w:rPr>
      </w:pPr>
    </w:p>
    <w:p w:rsidR="00093F0B" w:rsidRPr="006E09C6" w:rsidRDefault="00093F0B" w:rsidP="00953C6F">
      <w:pPr>
        <w:keepNext/>
        <w:keepLines/>
        <w:pBdr>
          <w:bottom w:val="single" w:sz="8" w:space="0" w:color="FCDBDB"/>
        </w:pBdr>
        <w:spacing w:line="300" w:lineRule="auto"/>
        <w:jc w:val="both"/>
        <w:outlineLvl w:val="0"/>
        <w:rPr>
          <w:rFonts w:ascii="Garamond" w:eastAsia="MS Gothic" w:hAnsi="Garamond" w:cs="Times New Roman"/>
          <w:b/>
          <w:noProof/>
          <w:sz w:val="28"/>
          <w:szCs w:val="28"/>
          <w:lang w:eastAsia="ja-JP"/>
        </w:rPr>
      </w:pPr>
      <w:bookmarkStart w:id="6" w:name="_Toc384118648"/>
    </w:p>
    <w:p w:rsidR="00093F0B" w:rsidRPr="006E09C6" w:rsidRDefault="00093F0B" w:rsidP="00953C6F">
      <w:pPr>
        <w:keepNext/>
        <w:keepLines/>
        <w:pBdr>
          <w:bottom w:val="single" w:sz="8" w:space="0" w:color="FCDBDB"/>
        </w:pBdr>
        <w:spacing w:line="300" w:lineRule="auto"/>
        <w:jc w:val="both"/>
        <w:outlineLvl w:val="0"/>
        <w:rPr>
          <w:rFonts w:ascii="Garamond" w:eastAsia="MS Gothic" w:hAnsi="Garamond" w:cs="Times New Roman"/>
          <w:b/>
          <w:noProof/>
          <w:sz w:val="28"/>
          <w:szCs w:val="28"/>
          <w:lang w:eastAsia="ja-JP"/>
        </w:rPr>
      </w:pPr>
    </w:p>
    <w:p w:rsidR="005725E3" w:rsidRPr="006E09C6" w:rsidRDefault="005725E3" w:rsidP="00953C6F">
      <w:pPr>
        <w:keepNext/>
        <w:keepLines/>
        <w:pBdr>
          <w:bottom w:val="single" w:sz="8" w:space="0" w:color="FCDBDB"/>
        </w:pBdr>
        <w:spacing w:line="300" w:lineRule="auto"/>
        <w:jc w:val="both"/>
        <w:outlineLvl w:val="0"/>
        <w:rPr>
          <w:rFonts w:ascii="Garamond" w:eastAsia="MS Gothic" w:hAnsi="Garamond" w:cs="Times New Roman"/>
          <w:b/>
          <w:noProof/>
          <w:sz w:val="28"/>
          <w:szCs w:val="28"/>
          <w:lang w:eastAsia="ja-JP"/>
        </w:rPr>
      </w:pPr>
      <w:r w:rsidRPr="006E09C6">
        <w:rPr>
          <w:rFonts w:ascii="Garamond" w:eastAsia="MS Gothic" w:hAnsi="Garamond" w:cs="Times New Roman"/>
          <w:b/>
          <w:noProof/>
          <w:sz w:val="28"/>
          <w:szCs w:val="28"/>
          <w:lang w:eastAsia="ja-JP"/>
        </w:rPr>
        <w:t>Viđenje i očekivanja od medija</w:t>
      </w:r>
      <w:bookmarkEnd w:id="6"/>
    </w:p>
    <w:p w:rsidR="005725E3" w:rsidRPr="006E09C6" w:rsidRDefault="005725E3" w:rsidP="00953C6F">
      <w:pPr>
        <w:jc w:val="both"/>
        <w:rPr>
          <w:rFonts w:ascii="Garamond" w:hAnsi="Garamond"/>
          <w:noProof/>
        </w:rPr>
      </w:pPr>
    </w:p>
    <w:p w:rsidR="005725E3" w:rsidRPr="006E09C6" w:rsidRDefault="005725E3" w:rsidP="00953C6F">
      <w:pPr>
        <w:jc w:val="both"/>
        <w:rPr>
          <w:rFonts w:ascii="Garamond" w:hAnsi="Garamond"/>
          <w:noProof/>
        </w:rPr>
      </w:pPr>
      <w:r w:rsidRPr="006E09C6">
        <w:rPr>
          <w:rFonts w:ascii="Garamond" w:hAnsi="Garamond"/>
          <w:noProof/>
        </w:rPr>
        <w:t xml:space="preserve">Upitani da odgovore šta su za njih mediji, veliki deo ispitanika primarno navodi njihovu informativnu funkciju. Najveći broj ispitanika, njih </w:t>
      </w:r>
      <w:r w:rsidR="003D41CB" w:rsidRPr="006E09C6">
        <w:rPr>
          <w:rFonts w:ascii="Garamond" w:hAnsi="Garamond"/>
          <w:noProof/>
        </w:rPr>
        <w:t>nešto iznad</w:t>
      </w:r>
      <w:r w:rsidRPr="006E09C6">
        <w:rPr>
          <w:rFonts w:ascii="Garamond" w:hAnsi="Garamond"/>
          <w:noProof/>
        </w:rPr>
        <w:t xml:space="preserve"> dve trećine (</w:t>
      </w:r>
      <w:r w:rsidR="003D41CB" w:rsidRPr="006E09C6">
        <w:rPr>
          <w:rFonts w:ascii="Garamond" w:hAnsi="Garamond"/>
          <w:noProof/>
        </w:rPr>
        <w:t>70,2</w:t>
      </w:r>
      <w:r w:rsidRPr="006E09C6">
        <w:rPr>
          <w:rFonts w:ascii="Garamond" w:hAnsi="Garamond"/>
          <w:noProof/>
        </w:rPr>
        <w:t>%), navodi da su za njih mediji sred</w:t>
      </w:r>
      <w:r w:rsidR="003D41CB" w:rsidRPr="006E09C6">
        <w:rPr>
          <w:rFonts w:ascii="Garamond" w:hAnsi="Garamond"/>
          <w:noProof/>
        </w:rPr>
        <w:t>s</w:t>
      </w:r>
      <w:r w:rsidRPr="006E09C6">
        <w:rPr>
          <w:rFonts w:ascii="Garamond" w:hAnsi="Garamond"/>
          <w:noProof/>
        </w:rPr>
        <w:t>tvo informisanja o stanju u svetu. Za nešto manje od polovine ispitanika</w:t>
      </w:r>
      <w:r w:rsidR="003D41CB" w:rsidRPr="006E09C6">
        <w:rPr>
          <w:rFonts w:ascii="Garamond" w:hAnsi="Garamond"/>
          <w:noProof/>
        </w:rPr>
        <w:t xml:space="preserve"> (43,5%)</w:t>
      </w:r>
      <w:r w:rsidRPr="006E09C6">
        <w:rPr>
          <w:rFonts w:ascii="Garamond" w:hAnsi="Garamond"/>
          <w:noProof/>
        </w:rPr>
        <w:t xml:space="preserve"> mediji predstavljaju sredstvo zabave i provođenja slobodnog vremena, sredstvo informisanja o stanju u gradu u kome žive i sredstvo informisanja o za njih bitnim stvarima (porodica, zdravlje, deca). </w:t>
      </w:r>
    </w:p>
    <w:p w:rsidR="00C20DFE" w:rsidRPr="006E09C6" w:rsidRDefault="00C20DFE" w:rsidP="00953C6F">
      <w:pPr>
        <w:jc w:val="both"/>
        <w:rPr>
          <w:rFonts w:ascii="Garamond" w:hAnsi="Garamond"/>
          <w:noProof/>
        </w:rPr>
      </w:pPr>
    </w:p>
    <w:p w:rsidR="005725E3" w:rsidRPr="006E09C6" w:rsidRDefault="005725E3" w:rsidP="00953C6F">
      <w:pPr>
        <w:jc w:val="both"/>
        <w:rPr>
          <w:rFonts w:ascii="Garamond" w:hAnsi="Garamond"/>
          <w:noProof/>
        </w:rPr>
      </w:pPr>
      <w:r w:rsidRPr="006E09C6">
        <w:rPr>
          <w:rFonts w:ascii="Garamond" w:hAnsi="Garamond"/>
          <w:noProof/>
        </w:rPr>
        <w:t>Sledeća kategorija je utilitarna funkcija, odnosno shvatanje medija kao izvora korisnih informacija. Nešto više od trećine ispitanika medije vidi kao sredstvo za dobijanje informacija bitnim za profesiju ili posao kojim se bave (</w:t>
      </w:r>
      <w:r w:rsidR="003D41CB" w:rsidRPr="006E09C6">
        <w:rPr>
          <w:rFonts w:ascii="Garamond" w:hAnsi="Garamond"/>
          <w:noProof/>
        </w:rPr>
        <w:t>42,2</w:t>
      </w:r>
      <w:r w:rsidRPr="006E09C6">
        <w:rPr>
          <w:rFonts w:ascii="Garamond" w:hAnsi="Garamond"/>
          <w:noProof/>
        </w:rPr>
        <w:t xml:space="preserve">%) ili sredstvo putem kojeg se dolazi do informacija o robi i uslugama. </w:t>
      </w:r>
      <w:r w:rsidR="00C4325C" w:rsidRPr="006E09C6">
        <w:rPr>
          <w:rFonts w:ascii="Garamond" w:hAnsi="Garamond"/>
          <w:noProof/>
        </w:rPr>
        <w:t>Posmatrano prema polu, prihodima i mestu stanovanja nema značajnijih razlika u shvatanju uloge medija, osim u segmentu koji se tiče informacija o robi i uslugama od interesovanja kod kategorija ispitanika bez prihoda i sa najnižim i najvišim prihodima, što je uslvljeno nedostatkom sredtava za prve dve katogorije i prirodom potreba ispitanika sa najvećim prihodima.</w:t>
      </w:r>
    </w:p>
    <w:p w:rsidR="00954841" w:rsidRPr="006E09C6" w:rsidRDefault="00954841"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093F0B" w:rsidRPr="006E09C6" w:rsidRDefault="00093F0B" w:rsidP="00953C6F">
      <w:pPr>
        <w:spacing w:after="0"/>
        <w:jc w:val="both"/>
        <w:rPr>
          <w:rFonts w:ascii="Garamond" w:hAnsi="Garamond"/>
          <w:noProof/>
        </w:rPr>
      </w:pPr>
    </w:p>
    <w:p w:rsidR="005725E3" w:rsidRPr="006E09C6" w:rsidRDefault="005725E3" w:rsidP="00953C6F">
      <w:pPr>
        <w:spacing w:after="0"/>
        <w:jc w:val="both"/>
        <w:rPr>
          <w:rFonts w:ascii="Garamond" w:hAnsi="Garamond"/>
          <w:noProof/>
        </w:rPr>
      </w:pPr>
      <w:r w:rsidRPr="006E09C6">
        <w:rPr>
          <w:rFonts w:ascii="Garamond" w:hAnsi="Garamond"/>
          <w:noProof/>
        </w:rPr>
        <w:t>Grafikon br. 5 - Percepcija medija</w:t>
      </w:r>
    </w:p>
    <w:p w:rsidR="005725E3" w:rsidRPr="006E09C6" w:rsidRDefault="005725E3" w:rsidP="00953C6F">
      <w:pPr>
        <w:jc w:val="both"/>
        <w:rPr>
          <w:rFonts w:ascii="Garamond" w:hAnsi="Garamond"/>
          <w:noProof/>
        </w:rPr>
      </w:pPr>
      <w:r w:rsidRPr="006E09C6">
        <w:rPr>
          <w:rFonts w:ascii="Garamond" w:hAnsi="Garamond"/>
          <w:noProof/>
        </w:rPr>
        <w:drawing>
          <wp:inline distT="0" distB="0" distL="0" distR="0">
            <wp:extent cx="6372225" cy="3609975"/>
            <wp:effectExtent l="1905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325C" w:rsidRPr="006E09C6" w:rsidRDefault="00C4325C" w:rsidP="00953C6F">
      <w:pPr>
        <w:jc w:val="both"/>
        <w:rPr>
          <w:rFonts w:ascii="Garamond" w:hAnsi="Garamond"/>
          <w:noProof/>
        </w:rPr>
      </w:pPr>
    </w:p>
    <w:p w:rsidR="00093F0B" w:rsidRPr="006E09C6" w:rsidRDefault="00093F0B" w:rsidP="00953C6F">
      <w:pPr>
        <w:jc w:val="both"/>
        <w:rPr>
          <w:rFonts w:ascii="Garamond" w:hAnsi="Garamond"/>
          <w:noProof/>
        </w:rPr>
      </w:pPr>
    </w:p>
    <w:p w:rsidR="00FB2C43" w:rsidRPr="006E09C6" w:rsidRDefault="00A25295" w:rsidP="00953C6F">
      <w:pPr>
        <w:jc w:val="both"/>
        <w:rPr>
          <w:rFonts w:ascii="Garamond" w:hAnsi="Garamond"/>
          <w:noProof/>
        </w:rPr>
      </w:pPr>
      <w:r w:rsidRPr="006E09C6">
        <w:rPr>
          <w:rFonts w:ascii="Garamond" w:hAnsi="Garamond"/>
          <w:noProof/>
        </w:rPr>
        <w:t>Nedostatak sadržaja iz kulture i umetnosti je opšti zaključak petine ispitanika bilo da se radi o sadržaju nacionalnih, bilo lokalnih medija. Takođe</w:t>
      </w:r>
      <w:r w:rsidR="00F051F3" w:rsidRPr="006E09C6">
        <w:rPr>
          <w:rFonts w:ascii="Garamond" w:hAnsi="Garamond"/>
          <w:noProof/>
        </w:rPr>
        <w:t>,</w:t>
      </w:r>
      <w:r w:rsidRPr="006E09C6">
        <w:rPr>
          <w:rFonts w:ascii="Garamond" w:hAnsi="Garamond"/>
          <w:noProof/>
        </w:rPr>
        <w:t xml:space="preserve"> oko petine ispitanika</w:t>
      </w:r>
      <w:r w:rsidR="00F051F3" w:rsidRPr="006E09C6">
        <w:rPr>
          <w:rFonts w:ascii="Garamond" w:hAnsi="Garamond"/>
          <w:noProof/>
        </w:rPr>
        <w:t xml:space="preserve"> smatra da nacionalnim medijima nedostaje edukativnih sadržaja, zatim sadržaja vezanih za nauku i tehnologiju (</w:t>
      </w:r>
      <w:r w:rsidR="006E09C6" w:rsidRPr="006E09C6">
        <w:rPr>
          <w:rFonts w:ascii="Garamond" w:hAnsi="Garamond"/>
          <w:noProof/>
        </w:rPr>
        <w:t>13,6</w:t>
      </w:r>
      <w:r w:rsidR="00F051F3" w:rsidRPr="006E09C6">
        <w:rPr>
          <w:rFonts w:ascii="Garamond" w:hAnsi="Garamond"/>
          <w:noProof/>
        </w:rPr>
        <w:t xml:space="preserve">%) i sadržaja iz ekonomije </w:t>
      </w:r>
      <w:r w:rsidR="00FB2C43" w:rsidRPr="006E09C6">
        <w:rPr>
          <w:rFonts w:ascii="Garamond" w:hAnsi="Garamond"/>
          <w:noProof/>
        </w:rPr>
        <w:t>i</w:t>
      </w:r>
      <w:r w:rsidR="00F051F3" w:rsidRPr="006E09C6">
        <w:rPr>
          <w:rFonts w:ascii="Garamond" w:hAnsi="Garamond"/>
          <w:noProof/>
        </w:rPr>
        <w:t xml:space="preserve"> poslovanja (9,5%). Kada se govori o sadržaju lokalnih medija, građani smatraju </w:t>
      </w:r>
      <w:r w:rsidR="00FB2C43" w:rsidRPr="006E09C6">
        <w:rPr>
          <w:rFonts w:ascii="Garamond" w:hAnsi="Garamond"/>
          <w:noProof/>
        </w:rPr>
        <w:t>da njima nedostaje više informacija o dešavanjima u lokalnim sredinama (</w:t>
      </w:r>
      <w:r w:rsidR="000E6BB6" w:rsidRPr="006E09C6">
        <w:rPr>
          <w:rFonts w:ascii="Garamond" w:hAnsi="Garamond"/>
          <w:noProof/>
        </w:rPr>
        <w:t>12,3</w:t>
      </w:r>
      <w:r w:rsidR="00FB2C43" w:rsidRPr="006E09C6">
        <w:rPr>
          <w:rFonts w:ascii="Garamond" w:hAnsi="Garamond"/>
          <w:noProof/>
        </w:rPr>
        <w:t xml:space="preserve">%), zatim </w:t>
      </w:r>
      <w:r w:rsidR="000E6BB6" w:rsidRPr="006E09C6">
        <w:rPr>
          <w:rFonts w:ascii="Garamond" w:hAnsi="Garamond"/>
          <w:noProof/>
        </w:rPr>
        <w:t>is</w:t>
      </w:r>
      <w:r w:rsidR="001223BB" w:rsidRPr="006E09C6">
        <w:rPr>
          <w:rFonts w:ascii="Garamond" w:hAnsi="Garamond"/>
          <w:noProof/>
        </w:rPr>
        <w:t>t</w:t>
      </w:r>
      <w:r w:rsidR="000E6BB6" w:rsidRPr="006E09C6">
        <w:rPr>
          <w:rFonts w:ascii="Garamond" w:hAnsi="Garamond"/>
          <w:noProof/>
        </w:rPr>
        <w:t xml:space="preserve">initih </w:t>
      </w:r>
      <w:r w:rsidR="001223BB" w:rsidRPr="006E09C6">
        <w:rPr>
          <w:rFonts w:ascii="Garamond" w:hAnsi="Garamond"/>
          <w:noProof/>
        </w:rPr>
        <w:t>i</w:t>
      </w:r>
      <w:r w:rsidR="000E6BB6" w:rsidRPr="006E09C6">
        <w:rPr>
          <w:rFonts w:ascii="Garamond" w:hAnsi="Garamond"/>
          <w:noProof/>
        </w:rPr>
        <w:t xml:space="preserve"> objektivnih </w:t>
      </w:r>
      <w:r w:rsidR="00FB2C43" w:rsidRPr="006E09C6">
        <w:rPr>
          <w:rFonts w:ascii="Garamond" w:hAnsi="Garamond"/>
          <w:noProof/>
        </w:rPr>
        <w:t>informacije (12,</w:t>
      </w:r>
      <w:r w:rsidR="001223BB" w:rsidRPr="006E09C6">
        <w:rPr>
          <w:rFonts w:ascii="Garamond" w:hAnsi="Garamond"/>
          <w:noProof/>
        </w:rPr>
        <w:t>3</w:t>
      </w:r>
      <w:r w:rsidR="00FB2C43" w:rsidRPr="006E09C6">
        <w:rPr>
          <w:rFonts w:ascii="Garamond" w:hAnsi="Garamond"/>
          <w:noProof/>
        </w:rPr>
        <w:t>%) i edukativni sadržaji (</w:t>
      </w:r>
      <w:r w:rsidR="001223BB" w:rsidRPr="006E09C6">
        <w:rPr>
          <w:rFonts w:ascii="Garamond" w:hAnsi="Garamond"/>
          <w:noProof/>
        </w:rPr>
        <w:t>8,5</w:t>
      </w:r>
      <w:r w:rsidR="00FB2C43" w:rsidRPr="006E09C6">
        <w:rPr>
          <w:rFonts w:ascii="Garamond" w:hAnsi="Garamond"/>
          <w:noProof/>
        </w:rPr>
        <w:t>%). U nešto manjoj meri, 9,5% ispitanika, smatra da je lokalnim medijima potrebno više kvalitetnog zabavnog sadržaja. Zadov</w:t>
      </w:r>
      <w:r w:rsidR="00C47D7A" w:rsidRPr="006E09C6">
        <w:rPr>
          <w:rFonts w:ascii="Garamond" w:hAnsi="Garamond"/>
          <w:noProof/>
        </w:rPr>
        <w:t>o</w:t>
      </w:r>
      <w:r w:rsidR="00FB2C43" w:rsidRPr="006E09C6">
        <w:rPr>
          <w:rFonts w:ascii="Garamond" w:hAnsi="Garamond"/>
          <w:noProof/>
        </w:rPr>
        <w:t xml:space="preserve">ljnih sadržajem programa na nacionalnim medijima je </w:t>
      </w:r>
      <w:r w:rsidR="006E09C6" w:rsidRPr="006E09C6">
        <w:rPr>
          <w:rFonts w:ascii="Garamond" w:hAnsi="Garamond"/>
          <w:noProof/>
        </w:rPr>
        <w:t>2</w:t>
      </w:r>
      <w:r w:rsidR="00FB2C43" w:rsidRPr="006E09C6">
        <w:rPr>
          <w:rFonts w:ascii="Garamond" w:hAnsi="Garamond"/>
          <w:noProof/>
        </w:rPr>
        <w:t>,5%, dok je taj procenat nešto manji kada se radi o lokalnim medijima (</w:t>
      </w:r>
      <w:r w:rsidR="001223BB" w:rsidRPr="006E09C6">
        <w:rPr>
          <w:rFonts w:ascii="Garamond" w:hAnsi="Garamond"/>
          <w:noProof/>
        </w:rPr>
        <w:t>10,8</w:t>
      </w:r>
      <w:r w:rsidR="00FB2C43" w:rsidRPr="006E09C6">
        <w:rPr>
          <w:rFonts w:ascii="Garamond" w:hAnsi="Garamond"/>
          <w:noProof/>
        </w:rPr>
        <w:t xml:space="preserve">%).  </w:t>
      </w:r>
    </w:p>
    <w:p w:rsidR="00954841" w:rsidRPr="006E09C6" w:rsidRDefault="00954841"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953C6F" w:rsidRPr="006E09C6" w:rsidRDefault="00953C6F" w:rsidP="00953C6F">
      <w:pPr>
        <w:jc w:val="both"/>
        <w:rPr>
          <w:rFonts w:ascii="Garamond" w:hAnsi="Garamond"/>
          <w:noProof/>
        </w:rPr>
      </w:pPr>
    </w:p>
    <w:p w:rsidR="00AD2F27" w:rsidRPr="006E09C6" w:rsidRDefault="00FB2C43" w:rsidP="00953C6F">
      <w:pPr>
        <w:spacing w:after="0"/>
        <w:jc w:val="both"/>
        <w:rPr>
          <w:rFonts w:ascii="Garamond" w:hAnsi="Garamond"/>
          <w:noProof/>
        </w:rPr>
      </w:pPr>
      <w:r w:rsidRPr="006E09C6">
        <w:rPr>
          <w:rFonts w:ascii="Garamond" w:hAnsi="Garamond"/>
          <w:noProof/>
        </w:rPr>
        <w:lastRenderedPageBreak/>
        <w:t>Grafikon br. 6 - Sadržaji koji nedostaju nacionalnim i lokalnim medijima</w:t>
      </w:r>
    </w:p>
    <w:p w:rsidR="0012515A" w:rsidRPr="006E09C6" w:rsidRDefault="0012515A" w:rsidP="00953C6F">
      <w:pPr>
        <w:jc w:val="both"/>
        <w:rPr>
          <w:rFonts w:ascii="Garamond" w:hAnsi="Garamond"/>
          <w:noProof/>
        </w:rPr>
      </w:pPr>
      <w:r w:rsidRPr="006E09C6">
        <w:rPr>
          <w:rFonts w:ascii="Garamond" w:hAnsi="Garamond"/>
          <w:noProof/>
        </w:rPr>
        <w:drawing>
          <wp:inline distT="0" distB="0" distL="0" distR="0">
            <wp:extent cx="6362700" cy="447675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69C9" w:rsidRPr="006E09C6" w:rsidRDefault="003469C9" w:rsidP="00953C6F">
      <w:pPr>
        <w:jc w:val="both"/>
        <w:rPr>
          <w:rFonts w:ascii="Garamond" w:hAnsi="Garamond"/>
          <w:noProof/>
        </w:rPr>
      </w:pPr>
      <w:r w:rsidRPr="006E09C6">
        <w:rPr>
          <w:rFonts w:ascii="Garamond" w:hAnsi="Garamond"/>
          <w:noProof/>
        </w:rPr>
        <w:t xml:space="preserve">Veća nezavisnost u kreiranju programa je prioritet za koji građani navode da je </w:t>
      </w:r>
      <w:r w:rsidR="00C47D7A" w:rsidRPr="006E09C6">
        <w:rPr>
          <w:rFonts w:ascii="Garamond" w:hAnsi="Garamond"/>
          <w:noProof/>
        </w:rPr>
        <w:t>m</w:t>
      </w:r>
      <w:r w:rsidRPr="006E09C6">
        <w:rPr>
          <w:rFonts w:ascii="Garamond" w:hAnsi="Garamond"/>
          <w:noProof/>
        </w:rPr>
        <w:t>edijima potrebna pomoć (</w:t>
      </w:r>
      <w:r w:rsidR="005F46CC" w:rsidRPr="006E09C6">
        <w:rPr>
          <w:rFonts w:ascii="Garamond" w:hAnsi="Garamond"/>
          <w:noProof/>
        </w:rPr>
        <w:t>70,0</w:t>
      </w:r>
      <w:r w:rsidRPr="006E09C6">
        <w:rPr>
          <w:rFonts w:ascii="Garamond" w:hAnsi="Garamond"/>
          <w:noProof/>
        </w:rPr>
        <w:t xml:space="preserve">%). </w:t>
      </w:r>
      <w:r w:rsidR="005C31AC" w:rsidRPr="006E09C6">
        <w:rPr>
          <w:rFonts w:ascii="Garamond" w:hAnsi="Garamond"/>
          <w:noProof/>
        </w:rPr>
        <w:t>Unapređenje tehničkih resursa za rad je sledeći od prioriteta koje navode građani (40,</w:t>
      </w:r>
      <w:r w:rsidR="005F46CC" w:rsidRPr="006E09C6">
        <w:rPr>
          <w:rFonts w:ascii="Garamond" w:hAnsi="Garamond"/>
          <w:noProof/>
        </w:rPr>
        <w:t>5</w:t>
      </w:r>
      <w:r w:rsidR="005C31AC" w:rsidRPr="006E09C6">
        <w:rPr>
          <w:rFonts w:ascii="Garamond" w:hAnsi="Garamond"/>
          <w:noProof/>
        </w:rPr>
        <w:t xml:space="preserve">%). Oko trećine ispitanika smatra da je medijima potrebna pomoć za unapređenje on-line sadržaja i jačanje kapaciteta postojećih kadrova koje mediji zapošljavaju. </w:t>
      </w:r>
    </w:p>
    <w:p w:rsidR="003469C9" w:rsidRPr="006E09C6" w:rsidRDefault="003469C9" w:rsidP="00953C6F">
      <w:pPr>
        <w:spacing w:after="0"/>
        <w:jc w:val="both"/>
        <w:rPr>
          <w:rFonts w:ascii="Garamond" w:hAnsi="Garamond"/>
          <w:noProof/>
        </w:rPr>
      </w:pPr>
      <w:r w:rsidRPr="006E09C6">
        <w:rPr>
          <w:rFonts w:ascii="Garamond" w:hAnsi="Garamond"/>
          <w:noProof/>
        </w:rPr>
        <w:t xml:space="preserve">Grafikon br. </w:t>
      </w:r>
      <w:r w:rsidR="005C31AC" w:rsidRPr="006E09C6">
        <w:rPr>
          <w:rFonts w:ascii="Garamond" w:hAnsi="Garamond"/>
          <w:noProof/>
        </w:rPr>
        <w:t>7</w:t>
      </w:r>
      <w:r w:rsidRPr="006E09C6">
        <w:rPr>
          <w:rFonts w:ascii="Garamond" w:hAnsi="Garamond"/>
          <w:noProof/>
        </w:rPr>
        <w:t xml:space="preserve"> – Za šta je medijima najpre potrebn</w:t>
      </w:r>
      <w:r w:rsidR="005F46CC" w:rsidRPr="006E09C6">
        <w:rPr>
          <w:rFonts w:ascii="Garamond" w:hAnsi="Garamond"/>
          <w:noProof/>
        </w:rPr>
        <w:t>a</w:t>
      </w:r>
      <w:r w:rsidRPr="006E09C6">
        <w:rPr>
          <w:rFonts w:ascii="Garamond" w:hAnsi="Garamond"/>
          <w:noProof/>
        </w:rPr>
        <w:t xml:space="preserve"> pomoć?</w:t>
      </w:r>
      <w:r w:rsidR="00C47D7A" w:rsidRPr="006E09C6">
        <w:rPr>
          <w:rFonts w:ascii="Garamond" w:hAnsi="Garamond"/>
          <w:noProof/>
        </w:rPr>
        <w:t xml:space="preserve"> (u%)</w:t>
      </w:r>
    </w:p>
    <w:p w:rsidR="00D738E3" w:rsidRPr="006E09C6" w:rsidRDefault="003469C9" w:rsidP="00953C6F">
      <w:pPr>
        <w:jc w:val="both"/>
        <w:rPr>
          <w:rFonts w:ascii="Garamond" w:hAnsi="Garamond"/>
          <w:noProof/>
        </w:rPr>
      </w:pPr>
      <w:r w:rsidRPr="006E09C6">
        <w:rPr>
          <w:rFonts w:ascii="Garamond" w:hAnsi="Garamond"/>
          <w:noProof/>
        </w:rPr>
        <w:drawing>
          <wp:inline distT="0" distB="0" distL="0" distR="0">
            <wp:extent cx="5486400" cy="2943225"/>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0F32" w:rsidRPr="006E09C6" w:rsidRDefault="00870F32" w:rsidP="00953C6F">
      <w:pPr>
        <w:keepNext/>
        <w:keepLines/>
        <w:pBdr>
          <w:bottom w:val="single" w:sz="8" w:space="0" w:color="FCDBDB"/>
        </w:pBdr>
        <w:spacing w:before="240" w:line="300" w:lineRule="auto"/>
        <w:jc w:val="both"/>
        <w:outlineLvl w:val="0"/>
        <w:rPr>
          <w:rFonts w:ascii="Garamond" w:eastAsia="MS Gothic" w:hAnsi="Garamond" w:cs="Times New Roman"/>
          <w:b/>
          <w:noProof/>
          <w:sz w:val="28"/>
          <w:szCs w:val="28"/>
          <w:lang w:eastAsia="ja-JP"/>
        </w:rPr>
      </w:pPr>
      <w:bookmarkStart w:id="7" w:name="_Toc384118649"/>
      <w:r w:rsidRPr="006E09C6">
        <w:rPr>
          <w:rFonts w:ascii="Garamond" w:eastAsia="MS Gothic" w:hAnsi="Garamond" w:cs="Times New Roman"/>
          <w:b/>
          <w:noProof/>
          <w:sz w:val="28"/>
          <w:szCs w:val="28"/>
          <w:lang w:eastAsia="ja-JP"/>
        </w:rPr>
        <w:lastRenderedPageBreak/>
        <w:t xml:space="preserve">Spremnost na davanje </w:t>
      </w:r>
      <w:r w:rsidR="000921C1" w:rsidRPr="006E09C6">
        <w:rPr>
          <w:rFonts w:ascii="Garamond" w:eastAsia="MS Gothic" w:hAnsi="Garamond" w:cs="Times New Roman"/>
          <w:b/>
          <w:noProof/>
          <w:sz w:val="28"/>
          <w:szCs w:val="28"/>
          <w:lang w:eastAsia="ja-JP"/>
        </w:rPr>
        <w:t>i</w:t>
      </w:r>
      <w:r w:rsidRPr="006E09C6">
        <w:rPr>
          <w:rFonts w:ascii="Garamond" w:eastAsia="MS Gothic" w:hAnsi="Garamond" w:cs="Times New Roman"/>
          <w:b/>
          <w:noProof/>
          <w:sz w:val="28"/>
          <w:szCs w:val="28"/>
          <w:lang w:eastAsia="ja-JP"/>
        </w:rPr>
        <w:t xml:space="preserve"> stavovi o nezavisnom Medijskom fondu</w:t>
      </w:r>
      <w:bookmarkEnd w:id="7"/>
      <w:r w:rsidRPr="006E09C6">
        <w:rPr>
          <w:rFonts w:ascii="Garamond" w:eastAsia="MS Gothic" w:hAnsi="Garamond" w:cs="Times New Roman"/>
          <w:b/>
          <w:noProof/>
          <w:sz w:val="28"/>
          <w:szCs w:val="28"/>
          <w:lang w:eastAsia="ja-JP"/>
        </w:rPr>
        <w:t xml:space="preserve"> </w:t>
      </w:r>
    </w:p>
    <w:p w:rsidR="00093F0B" w:rsidRPr="006E09C6" w:rsidRDefault="00093F0B" w:rsidP="00953C6F">
      <w:pPr>
        <w:jc w:val="both"/>
        <w:rPr>
          <w:rFonts w:ascii="Garamond" w:hAnsi="Garamond"/>
          <w:noProof/>
        </w:rPr>
      </w:pPr>
    </w:p>
    <w:p w:rsidR="00870F32" w:rsidRPr="006E09C6" w:rsidRDefault="00870F32" w:rsidP="00953C6F">
      <w:pPr>
        <w:jc w:val="both"/>
        <w:rPr>
          <w:rFonts w:ascii="Garamond" w:hAnsi="Garamond"/>
          <w:noProof/>
        </w:rPr>
      </w:pPr>
      <w:r w:rsidRPr="006E09C6">
        <w:rPr>
          <w:rFonts w:ascii="Garamond" w:hAnsi="Garamond"/>
          <w:noProof/>
        </w:rPr>
        <w:t>Gotovo polovina ispitanika (ukupno 4</w:t>
      </w:r>
      <w:r w:rsidR="003D41CB" w:rsidRPr="006E09C6">
        <w:rPr>
          <w:rFonts w:ascii="Garamond" w:hAnsi="Garamond"/>
          <w:noProof/>
        </w:rPr>
        <w:t>5</w:t>
      </w:r>
      <w:r w:rsidRPr="006E09C6">
        <w:rPr>
          <w:rFonts w:ascii="Garamond" w:hAnsi="Garamond"/>
          <w:noProof/>
        </w:rPr>
        <w:t>,</w:t>
      </w:r>
      <w:r w:rsidR="003D41CB" w:rsidRPr="006E09C6">
        <w:rPr>
          <w:rFonts w:ascii="Garamond" w:hAnsi="Garamond"/>
          <w:noProof/>
        </w:rPr>
        <w:t>6</w:t>
      </w:r>
      <w:r w:rsidRPr="006E09C6">
        <w:rPr>
          <w:rFonts w:ascii="Garamond" w:hAnsi="Garamond"/>
          <w:noProof/>
        </w:rPr>
        <w:t>%) nije spremna, odnosno ne zna da li bi bil</w:t>
      </w:r>
      <w:r w:rsidR="00C47D7A" w:rsidRPr="006E09C6">
        <w:rPr>
          <w:rFonts w:ascii="Garamond" w:hAnsi="Garamond"/>
          <w:noProof/>
        </w:rPr>
        <w:t>a</w:t>
      </w:r>
      <w:r w:rsidRPr="006E09C6">
        <w:rPr>
          <w:rFonts w:ascii="Garamond" w:hAnsi="Garamond"/>
          <w:noProof/>
        </w:rPr>
        <w:t xml:space="preserve"> spremn</w:t>
      </w:r>
      <w:r w:rsidR="00C47D7A" w:rsidRPr="006E09C6">
        <w:rPr>
          <w:rFonts w:ascii="Garamond" w:hAnsi="Garamond"/>
          <w:noProof/>
        </w:rPr>
        <w:t>a</w:t>
      </w:r>
      <w:r w:rsidRPr="006E09C6">
        <w:rPr>
          <w:rFonts w:ascii="Garamond" w:hAnsi="Garamond"/>
          <w:noProof/>
        </w:rPr>
        <w:t xml:space="preserve"> da finansijski podrž</w:t>
      </w:r>
      <w:r w:rsidR="00C47D7A" w:rsidRPr="006E09C6">
        <w:rPr>
          <w:rFonts w:ascii="Garamond" w:hAnsi="Garamond"/>
          <w:noProof/>
        </w:rPr>
        <w:t>i</w:t>
      </w:r>
      <w:r w:rsidRPr="006E09C6">
        <w:rPr>
          <w:rFonts w:ascii="Garamond" w:hAnsi="Garamond"/>
          <w:noProof/>
        </w:rPr>
        <w:t xml:space="preserve"> rad nezavisnog medijskog fonda. Najveći deo ispitanika koji bi finansijski podržali </w:t>
      </w:r>
      <w:r w:rsidR="005B2BC9" w:rsidRPr="006E09C6">
        <w:rPr>
          <w:rFonts w:ascii="Garamond" w:hAnsi="Garamond"/>
          <w:noProof/>
        </w:rPr>
        <w:t>Medijski fond bi to učinio ako bi taj fond bio u vlasništvu građana (1</w:t>
      </w:r>
      <w:r w:rsidR="003D41CB" w:rsidRPr="006E09C6">
        <w:rPr>
          <w:rFonts w:ascii="Garamond" w:hAnsi="Garamond"/>
          <w:noProof/>
        </w:rPr>
        <w:t>7,1</w:t>
      </w:r>
      <w:r w:rsidR="005B2BC9" w:rsidRPr="006E09C6">
        <w:rPr>
          <w:rFonts w:ascii="Garamond" w:hAnsi="Garamond"/>
          <w:noProof/>
        </w:rPr>
        <w:t>%) i ako bi imali uticaja na sadržaje koji bi bili podržani (1</w:t>
      </w:r>
      <w:r w:rsidR="003D41CB" w:rsidRPr="006E09C6">
        <w:rPr>
          <w:rFonts w:ascii="Garamond" w:hAnsi="Garamond"/>
          <w:noProof/>
        </w:rPr>
        <w:t>3,0</w:t>
      </w:r>
      <w:r w:rsidR="005B2BC9" w:rsidRPr="006E09C6">
        <w:rPr>
          <w:rFonts w:ascii="Garamond" w:hAnsi="Garamond"/>
          <w:noProof/>
        </w:rPr>
        <w:t>%). U nešto manjoj meri, finansijska podrška bi bila prihvatljiva građanima ukoliko bi građani bili neko ko na neki način odlučuje o radu fonda (7,8%) ili ako bi takav fond bio lokalnog karaktera (</w:t>
      </w:r>
      <w:r w:rsidR="003D41CB" w:rsidRPr="006E09C6">
        <w:rPr>
          <w:rFonts w:ascii="Garamond" w:hAnsi="Garamond"/>
          <w:noProof/>
        </w:rPr>
        <w:t>5,5</w:t>
      </w:r>
      <w:r w:rsidR="005B2BC9" w:rsidRPr="006E09C6">
        <w:rPr>
          <w:rFonts w:ascii="Garamond" w:hAnsi="Garamond"/>
          <w:noProof/>
        </w:rPr>
        <w:t xml:space="preserve">%). Distribucija odgovora ukazuje na povezanost spremnosti za davanje sa mogućnošću uticaja na njegov radu u smislu organizacije rada ili sadržaja koji se podržavaju. </w:t>
      </w:r>
    </w:p>
    <w:p w:rsidR="00093F0B" w:rsidRPr="006E09C6" w:rsidRDefault="00093F0B" w:rsidP="00953C6F">
      <w:pPr>
        <w:spacing w:after="0"/>
        <w:jc w:val="both"/>
        <w:rPr>
          <w:rFonts w:ascii="Garamond" w:hAnsi="Garamond"/>
          <w:noProof/>
        </w:rPr>
      </w:pPr>
    </w:p>
    <w:p w:rsidR="00870F32" w:rsidRPr="006E09C6" w:rsidRDefault="00870F32" w:rsidP="00953C6F">
      <w:pPr>
        <w:spacing w:after="0"/>
        <w:jc w:val="both"/>
        <w:rPr>
          <w:rFonts w:ascii="Garamond" w:hAnsi="Garamond"/>
          <w:noProof/>
        </w:rPr>
      </w:pPr>
      <w:r w:rsidRPr="006E09C6">
        <w:rPr>
          <w:rFonts w:ascii="Garamond" w:hAnsi="Garamond"/>
          <w:noProof/>
        </w:rPr>
        <w:t>Grafikon br.</w:t>
      </w:r>
      <w:r w:rsidR="005C31AC" w:rsidRPr="006E09C6">
        <w:rPr>
          <w:rFonts w:ascii="Garamond" w:hAnsi="Garamond"/>
          <w:noProof/>
        </w:rPr>
        <w:t>8</w:t>
      </w:r>
      <w:r w:rsidRPr="006E09C6">
        <w:rPr>
          <w:rFonts w:ascii="Garamond" w:hAnsi="Garamond"/>
          <w:noProof/>
        </w:rPr>
        <w:t xml:space="preserve"> - Da li biste finansijski podržali nezavisno Medijski fond?</w:t>
      </w:r>
      <w:r w:rsidR="00C47D7A" w:rsidRPr="006E09C6">
        <w:rPr>
          <w:rFonts w:ascii="Garamond" w:hAnsi="Garamond"/>
          <w:noProof/>
        </w:rPr>
        <w:t xml:space="preserve"> (u%)</w:t>
      </w:r>
    </w:p>
    <w:p w:rsidR="00870F32" w:rsidRPr="006E09C6" w:rsidRDefault="00870F32" w:rsidP="00953C6F">
      <w:pPr>
        <w:jc w:val="both"/>
        <w:rPr>
          <w:rFonts w:ascii="Garamond" w:hAnsi="Garamond"/>
          <w:noProof/>
        </w:rPr>
      </w:pPr>
      <w:r w:rsidRPr="006E09C6">
        <w:rPr>
          <w:rFonts w:ascii="Garamond" w:hAnsi="Garamond"/>
          <w:noProof/>
        </w:rPr>
        <w:drawing>
          <wp:inline distT="0" distB="0" distL="0" distR="0">
            <wp:extent cx="5610225" cy="3200400"/>
            <wp:effectExtent l="1905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0A92" w:rsidRPr="006E09C6" w:rsidRDefault="00620A92" w:rsidP="00953C6F">
      <w:pPr>
        <w:jc w:val="both"/>
        <w:rPr>
          <w:rFonts w:ascii="Garamond" w:hAnsi="Garamond"/>
          <w:noProof/>
        </w:rPr>
      </w:pPr>
    </w:p>
    <w:p w:rsidR="00620A92" w:rsidRPr="006E09C6" w:rsidRDefault="00620A92" w:rsidP="00953C6F">
      <w:pPr>
        <w:jc w:val="both"/>
        <w:rPr>
          <w:rFonts w:ascii="Garamond" w:hAnsi="Garamond"/>
          <w:noProof/>
        </w:rPr>
      </w:pPr>
      <w:r w:rsidRPr="006E09C6">
        <w:rPr>
          <w:rFonts w:ascii="Garamond" w:hAnsi="Garamond"/>
          <w:noProof/>
        </w:rPr>
        <w:t xml:space="preserve">Posmatrano prema polu ispitanika, veću spremnost za finansijsku podršku Medijskom fondu izražavaju žene. Ispitanici bez prihoda i oni sa nižim prihodima nisu spremni za izdvajanje. </w:t>
      </w:r>
      <w:r w:rsidR="00BD63D0" w:rsidRPr="006E09C6">
        <w:rPr>
          <w:rFonts w:ascii="Garamond" w:hAnsi="Garamond"/>
          <w:noProof/>
        </w:rPr>
        <w:t xml:space="preserve">Nema značajnije razlike među zaposlenim i nezaposlenim ispitaniacima. </w:t>
      </w:r>
      <w:r w:rsidRPr="006E09C6">
        <w:rPr>
          <w:rFonts w:ascii="Garamond" w:hAnsi="Garamond"/>
          <w:noProof/>
        </w:rPr>
        <w:t xml:space="preserve">Nešto manje od polovine ispitanika sa prihodima u rasponu od 40-80.000 dinara je spremno za finansijki podrži Medijski fond. Ispitanici sa primanjima </w:t>
      </w:r>
      <w:r w:rsidR="00FE1522" w:rsidRPr="006E09C6">
        <w:rPr>
          <w:rFonts w:ascii="Garamond" w:hAnsi="Garamond"/>
          <w:noProof/>
        </w:rPr>
        <w:t>od 80-120.000</w:t>
      </w:r>
      <w:r w:rsidRPr="006E09C6">
        <w:rPr>
          <w:rFonts w:ascii="Garamond" w:hAnsi="Garamond"/>
          <w:noProof/>
        </w:rPr>
        <w:t xml:space="preserve"> </w:t>
      </w:r>
      <w:r w:rsidR="00FE1522" w:rsidRPr="006E09C6">
        <w:rPr>
          <w:rFonts w:ascii="Garamond" w:hAnsi="Garamond"/>
          <w:noProof/>
        </w:rPr>
        <w:t xml:space="preserve">dinara u 40% nisu spremni da investiraju, kao i polovina onih sa prihodima iznad 120.000 dinara. Na odluku o finansiranju u  velikoj meri utiče mogućnost upravljanja i odlučivanja o sadržajima koji bi bili podržani. Područje Sandžaka i Zapadne Srbije </w:t>
      </w:r>
      <w:r w:rsidR="00771AEE" w:rsidRPr="006E09C6">
        <w:rPr>
          <w:rFonts w:ascii="Garamond" w:hAnsi="Garamond"/>
          <w:noProof/>
        </w:rPr>
        <w:t xml:space="preserve">se po nešto većoj spremnosti za finansijsku podršku fondu </w:t>
      </w:r>
      <w:r w:rsidR="005952ED" w:rsidRPr="006E09C6">
        <w:rPr>
          <w:rFonts w:ascii="Garamond" w:hAnsi="Garamond"/>
          <w:noProof/>
        </w:rPr>
        <w:t xml:space="preserve">proseka. </w:t>
      </w:r>
    </w:p>
    <w:p w:rsidR="003D41CB" w:rsidRPr="006E09C6" w:rsidRDefault="003D41CB" w:rsidP="00953C6F">
      <w:pPr>
        <w:jc w:val="both"/>
        <w:rPr>
          <w:rFonts w:ascii="Garamond" w:hAnsi="Garamond"/>
          <w:noProof/>
        </w:rPr>
      </w:pPr>
    </w:p>
    <w:p w:rsidR="00D738E3" w:rsidRPr="006E09C6" w:rsidRDefault="00D738E3" w:rsidP="00953C6F">
      <w:pPr>
        <w:jc w:val="both"/>
        <w:rPr>
          <w:rFonts w:ascii="Garamond" w:hAnsi="Garamond"/>
          <w:noProof/>
        </w:rPr>
      </w:pPr>
      <w:r w:rsidRPr="006E09C6">
        <w:rPr>
          <w:rFonts w:ascii="Garamond" w:hAnsi="Garamond"/>
          <w:noProof/>
        </w:rPr>
        <w:t>Utvrđen</w:t>
      </w:r>
      <w:r w:rsidR="004503F5" w:rsidRPr="006E09C6">
        <w:rPr>
          <w:rFonts w:ascii="Garamond" w:hAnsi="Garamond"/>
          <w:noProof/>
        </w:rPr>
        <w:t>o je da bi polovine (50.0%) ispitanika spremno</w:t>
      </w:r>
      <w:r w:rsidRPr="006E09C6">
        <w:rPr>
          <w:rFonts w:ascii="Garamond" w:hAnsi="Garamond"/>
          <w:noProof/>
        </w:rPr>
        <w:t xml:space="preserve"> </w:t>
      </w:r>
      <w:r w:rsidR="004503F5" w:rsidRPr="006E09C6">
        <w:rPr>
          <w:rFonts w:ascii="Garamond" w:hAnsi="Garamond"/>
          <w:noProof/>
        </w:rPr>
        <w:t>da da podršku</w:t>
      </w:r>
      <w:r w:rsidRPr="006E09C6">
        <w:rPr>
          <w:rFonts w:ascii="Garamond" w:hAnsi="Garamond"/>
          <w:noProof/>
        </w:rPr>
        <w:t xml:space="preserve"> medijima kroz Medijski fond koja se odnosi na lokalne medije, tj. gradjani su u najvećoj meri spremni da doprinesu radu lokalnih medija. Nešto </w:t>
      </w:r>
      <w:r w:rsidR="004503F5" w:rsidRPr="006E09C6">
        <w:rPr>
          <w:rFonts w:ascii="Garamond" w:hAnsi="Garamond"/>
          <w:noProof/>
        </w:rPr>
        <w:t xml:space="preserve">više </w:t>
      </w:r>
      <w:r w:rsidRPr="006E09C6">
        <w:rPr>
          <w:rFonts w:ascii="Garamond" w:hAnsi="Garamond"/>
          <w:noProof/>
        </w:rPr>
        <w:t>od trećine ispitanika je spremno da podrži nacionlane medije (3</w:t>
      </w:r>
      <w:r w:rsidR="004503F5" w:rsidRPr="006E09C6">
        <w:rPr>
          <w:rFonts w:ascii="Garamond" w:hAnsi="Garamond"/>
          <w:noProof/>
        </w:rPr>
        <w:t>4</w:t>
      </w:r>
      <w:r w:rsidRPr="006E09C6">
        <w:rPr>
          <w:rFonts w:ascii="Garamond" w:hAnsi="Garamond"/>
          <w:noProof/>
        </w:rPr>
        <w:t>,</w:t>
      </w:r>
      <w:r w:rsidR="004503F5" w:rsidRPr="006E09C6">
        <w:rPr>
          <w:rFonts w:ascii="Garamond" w:hAnsi="Garamond"/>
          <w:noProof/>
        </w:rPr>
        <w:t>8</w:t>
      </w:r>
      <w:r w:rsidRPr="006E09C6">
        <w:rPr>
          <w:rFonts w:ascii="Garamond" w:hAnsi="Garamond"/>
          <w:noProof/>
        </w:rPr>
        <w:t>%), dok je njih svega 15,</w:t>
      </w:r>
      <w:r w:rsidR="004503F5" w:rsidRPr="006E09C6">
        <w:rPr>
          <w:rFonts w:ascii="Garamond" w:hAnsi="Garamond"/>
          <w:noProof/>
        </w:rPr>
        <w:t>2</w:t>
      </w:r>
      <w:r w:rsidRPr="006E09C6">
        <w:rPr>
          <w:rFonts w:ascii="Garamond" w:hAnsi="Garamond"/>
          <w:noProof/>
        </w:rPr>
        <w:t xml:space="preserve">% spremno da podrži regionalne medije. </w:t>
      </w:r>
    </w:p>
    <w:p w:rsidR="00D738E3" w:rsidRPr="006E09C6" w:rsidRDefault="00D738E3" w:rsidP="00953C6F">
      <w:pPr>
        <w:spacing w:after="0"/>
        <w:jc w:val="both"/>
        <w:rPr>
          <w:rFonts w:ascii="Garamond" w:hAnsi="Garamond"/>
          <w:noProof/>
        </w:rPr>
      </w:pPr>
      <w:r w:rsidRPr="006E09C6">
        <w:rPr>
          <w:rFonts w:ascii="Garamond" w:hAnsi="Garamond"/>
          <w:noProof/>
        </w:rPr>
        <w:lastRenderedPageBreak/>
        <w:t>Grafikon br.</w:t>
      </w:r>
      <w:r w:rsidR="005C31AC" w:rsidRPr="006E09C6">
        <w:rPr>
          <w:rFonts w:ascii="Garamond" w:hAnsi="Garamond"/>
          <w:noProof/>
        </w:rPr>
        <w:t>9</w:t>
      </w:r>
      <w:r w:rsidRPr="006E09C6">
        <w:rPr>
          <w:rFonts w:ascii="Garamond" w:hAnsi="Garamond"/>
          <w:noProof/>
        </w:rPr>
        <w:t xml:space="preserve"> – Spremnost za podršku prema vrsti medija</w:t>
      </w:r>
      <w:r w:rsidR="00C47D7A" w:rsidRPr="006E09C6">
        <w:rPr>
          <w:rFonts w:ascii="Garamond" w:hAnsi="Garamond"/>
          <w:noProof/>
        </w:rPr>
        <w:t xml:space="preserve"> (u%)</w:t>
      </w:r>
    </w:p>
    <w:p w:rsidR="00D738E3" w:rsidRPr="006E09C6" w:rsidRDefault="00D738E3" w:rsidP="00953C6F">
      <w:pPr>
        <w:jc w:val="both"/>
        <w:rPr>
          <w:rFonts w:ascii="Garamond" w:hAnsi="Garamond"/>
          <w:noProof/>
        </w:rPr>
      </w:pPr>
      <w:r w:rsidRPr="006E09C6">
        <w:rPr>
          <w:rFonts w:ascii="Garamond" w:hAnsi="Garamond"/>
          <w:noProof/>
        </w:rPr>
        <w:drawing>
          <wp:inline distT="0" distB="0" distL="0" distR="0">
            <wp:extent cx="5491843" cy="3058886"/>
            <wp:effectExtent l="19050" t="0" r="13607" b="8164"/>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E09C6" w:rsidRDefault="006E09C6" w:rsidP="00953C6F">
      <w:pPr>
        <w:jc w:val="both"/>
        <w:rPr>
          <w:rFonts w:ascii="Garamond" w:hAnsi="Garamond"/>
          <w:noProof/>
        </w:rPr>
      </w:pPr>
    </w:p>
    <w:p w:rsidR="006E09C6" w:rsidRDefault="006E09C6" w:rsidP="00953C6F">
      <w:pPr>
        <w:jc w:val="both"/>
        <w:rPr>
          <w:rFonts w:ascii="Garamond" w:hAnsi="Garamond"/>
          <w:noProof/>
        </w:rPr>
      </w:pPr>
    </w:p>
    <w:p w:rsidR="00FF5793" w:rsidRDefault="00D738E3" w:rsidP="00953C6F">
      <w:pPr>
        <w:jc w:val="both"/>
        <w:rPr>
          <w:rFonts w:ascii="Garamond" w:hAnsi="Garamond"/>
          <w:noProof/>
        </w:rPr>
      </w:pPr>
      <w:r w:rsidRPr="006E09C6">
        <w:rPr>
          <w:rFonts w:ascii="Garamond" w:hAnsi="Garamond"/>
          <w:noProof/>
        </w:rPr>
        <w:t>Po pitanju učestalosti izdvajanja za Medijski fond, polovina ispitanika (5</w:t>
      </w:r>
      <w:r w:rsidR="00B67F98" w:rsidRPr="006E09C6">
        <w:rPr>
          <w:rFonts w:ascii="Garamond" w:hAnsi="Garamond"/>
          <w:noProof/>
        </w:rPr>
        <w:t>2</w:t>
      </w:r>
      <w:r w:rsidRPr="006E09C6">
        <w:rPr>
          <w:rFonts w:ascii="Garamond" w:hAnsi="Garamond"/>
          <w:noProof/>
        </w:rPr>
        <w:t>,</w:t>
      </w:r>
      <w:r w:rsidR="00B67F98" w:rsidRPr="006E09C6">
        <w:rPr>
          <w:rFonts w:ascii="Garamond" w:hAnsi="Garamond"/>
          <w:noProof/>
        </w:rPr>
        <w:t>3</w:t>
      </w:r>
      <w:r w:rsidRPr="006E09C6">
        <w:rPr>
          <w:rFonts w:ascii="Garamond" w:hAnsi="Garamond"/>
          <w:noProof/>
        </w:rPr>
        <w:t>%) bi bila spremna da to čini jednom godišnje. Dva puta puta godišnje</w:t>
      </w:r>
      <w:r w:rsidR="00FF5793" w:rsidRPr="006E09C6">
        <w:rPr>
          <w:rFonts w:ascii="Garamond" w:hAnsi="Garamond"/>
          <w:noProof/>
        </w:rPr>
        <w:t xml:space="preserve"> je spremno da izdvaja nešto </w:t>
      </w:r>
      <w:r w:rsidR="00B67F98" w:rsidRPr="006E09C6">
        <w:rPr>
          <w:rFonts w:ascii="Garamond" w:hAnsi="Garamond"/>
          <w:noProof/>
        </w:rPr>
        <w:t>viš</w:t>
      </w:r>
      <w:r w:rsidR="00FF5793" w:rsidRPr="006E09C6">
        <w:rPr>
          <w:rFonts w:ascii="Garamond" w:hAnsi="Garamond"/>
          <w:noProof/>
        </w:rPr>
        <w:t xml:space="preserve">e od petine ispitanika, dok se ispitanici ređe opredeljuju za učestalija davanja. </w:t>
      </w:r>
    </w:p>
    <w:p w:rsidR="006E09C6" w:rsidRDefault="006E09C6" w:rsidP="00953C6F">
      <w:pPr>
        <w:jc w:val="both"/>
        <w:rPr>
          <w:rFonts w:ascii="Garamond" w:hAnsi="Garamond"/>
          <w:noProof/>
        </w:rPr>
      </w:pPr>
    </w:p>
    <w:p w:rsidR="006E09C6" w:rsidRPr="006E09C6" w:rsidRDefault="006E09C6" w:rsidP="00953C6F">
      <w:pPr>
        <w:jc w:val="both"/>
        <w:rPr>
          <w:rFonts w:ascii="Garamond" w:hAnsi="Garamond"/>
          <w:noProof/>
        </w:rPr>
      </w:pPr>
    </w:p>
    <w:p w:rsidR="00343D86" w:rsidRPr="006E09C6" w:rsidRDefault="00343D86" w:rsidP="00953C6F">
      <w:pPr>
        <w:spacing w:after="0"/>
        <w:jc w:val="both"/>
        <w:rPr>
          <w:rFonts w:ascii="Garamond" w:eastAsia="Times New Roman" w:hAnsi="Garamond" w:cstheme="minorHAnsi"/>
          <w:noProof/>
        </w:rPr>
      </w:pPr>
      <w:r w:rsidRPr="006E09C6">
        <w:rPr>
          <w:rFonts w:ascii="Garamond" w:hAnsi="Garamond"/>
          <w:noProof/>
        </w:rPr>
        <w:t xml:space="preserve">Tabela br.1 – </w:t>
      </w:r>
      <w:r w:rsidRPr="006E09C6">
        <w:rPr>
          <w:rFonts w:ascii="Garamond" w:eastAsia="Times New Roman" w:hAnsi="Garamond" w:cs="Arial"/>
          <w:noProof/>
        </w:rPr>
        <w:t>Koliko cesto biste izdvajali za nezavisni medijski fond?</w:t>
      </w:r>
      <w:r w:rsidR="00C47D7A" w:rsidRPr="006E09C6">
        <w:rPr>
          <w:rFonts w:ascii="Garamond" w:eastAsia="Times New Roman" w:hAnsi="Garamond" w:cs="Arial"/>
          <w:noProof/>
        </w:rPr>
        <w:t xml:space="preserve"> (u%)</w:t>
      </w:r>
    </w:p>
    <w:tbl>
      <w:tblPr>
        <w:tblStyle w:val="MediumShading1-Accent5"/>
        <w:tblW w:w="4900" w:type="dxa"/>
        <w:tblLook w:val="04A0"/>
      </w:tblPr>
      <w:tblGrid>
        <w:gridCol w:w="3940"/>
        <w:gridCol w:w="960"/>
      </w:tblGrid>
      <w:tr w:rsidR="00343D86" w:rsidRPr="006E09C6" w:rsidTr="008A40BB">
        <w:trPr>
          <w:cnfStyle w:val="100000000000"/>
          <w:trHeight w:val="255"/>
        </w:trPr>
        <w:tc>
          <w:tcPr>
            <w:cnfStyle w:val="001000000000"/>
            <w:tcW w:w="3940" w:type="dxa"/>
            <w:noWrap/>
            <w:hideMark/>
          </w:tcPr>
          <w:p w:rsidR="00343D86" w:rsidRPr="006E09C6" w:rsidRDefault="00343D86" w:rsidP="00953C6F">
            <w:pPr>
              <w:jc w:val="both"/>
              <w:rPr>
                <w:rFonts w:ascii="Garamond" w:eastAsia="Times New Roman" w:hAnsi="Garamond" w:cs="Arial"/>
                <w:noProof/>
                <w:color w:val="auto"/>
              </w:rPr>
            </w:pPr>
          </w:p>
        </w:tc>
        <w:tc>
          <w:tcPr>
            <w:tcW w:w="960" w:type="dxa"/>
            <w:noWrap/>
            <w:hideMark/>
          </w:tcPr>
          <w:p w:rsidR="00343D86" w:rsidRPr="006E09C6" w:rsidRDefault="00343D86" w:rsidP="00953C6F">
            <w:pPr>
              <w:jc w:val="both"/>
              <w:cnfStyle w:val="100000000000"/>
              <w:rPr>
                <w:rFonts w:ascii="Garamond" w:eastAsia="Times New Roman" w:hAnsi="Garamond" w:cs="Arial"/>
                <w:noProof/>
                <w:color w:val="auto"/>
              </w:rPr>
            </w:pPr>
          </w:p>
        </w:tc>
      </w:tr>
      <w:tr w:rsidR="00343D86" w:rsidRPr="006E09C6" w:rsidTr="008A40BB">
        <w:trPr>
          <w:cnfStyle w:val="000000100000"/>
          <w:trHeight w:val="255"/>
        </w:trPr>
        <w:tc>
          <w:tcPr>
            <w:cnfStyle w:val="001000000000"/>
            <w:tcW w:w="3940" w:type="dxa"/>
            <w:hideMark/>
          </w:tcPr>
          <w:p w:rsidR="00343D86" w:rsidRPr="006E09C6" w:rsidRDefault="00343D86" w:rsidP="00953C6F">
            <w:pPr>
              <w:jc w:val="both"/>
              <w:rPr>
                <w:rFonts w:ascii="Garamond" w:eastAsia="Times New Roman" w:hAnsi="Garamond" w:cs="Arial"/>
                <w:b w:val="0"/>
                <w:noProof/>
              </w:rPr>
            </w:pPr>
            <w:r w:rsidRPr="006E09C6">
              <w:rPr>
                <w:rFonts w:ascii="Garamond" w:eastAsia="Times New Roman" w:hAnsi="Garamond" w:cs="Arial"/>
                <w:b w:val="0"/>
                <w:noProof/>
              </w:rPr>
              <w:t>Jednom godisnje</w:t>
            </w:r>
          </w:p>
        </w:tc>
        <w:tc>
          <w:tcPr>
            <w:tcW w:w="960" w:type="dxa"/>
            <w:hideMark/>
          </w:tcPr>
          <w:p w:rsidR="00343D86" w:rsidRPr="006E09C6" w:rsidRDefault="00343D86" w:rsidP="00B67F98">
            <w:pPr>
              <w:jc w:val="both"/>
              <w:cnfStyle w:val="000000100000"/>
              <w:rPr>
                <w:rFonts w:ascii="Garamond" w:eastAsia="Times New Roman" w:hAnsi="Garamond" w:cs="Arial"/>
                <w:noProof/>
              </w:rPr>
            </w:pPr>
            <w:r w:rsidRPr="006E09C6">
              <w:rPr>
                <w:rFonts w:ascii="Garamond" w:eastAsia="Times New Roman" w:hAnsi="Garamond" w:cs="Arial"/>
                <w:noProof/>
              </w:rPr>
              <w:t>5</w:t>
            </w:r>
            <w:r w:rsidR="00B67F98" w:rsidRPr="006E09C6">
              <w:rPr>
                <w:rFonts w:ascii="Garamond" w:eastAsia="Times New Roman" w:hAnsi="Garamond" w:cs="Arial"/>
                <w:noProof/>
              </w:rPr>
              <w:t>2</w:t>
            </w:r>
            <w:r w:rsidRPr="006E09C6">
              <w:rPr>
                <w:rFonts w:ascii="Garamond" w:eastAsia="Times New Roman" w:hAnsi="Garamond" w:cs="Arial"/>
                <w:noProof/>
              </w:rPr>
              <w:t>,</w:t>
            </w:r>
            <w:r w:rsidR="00B67F98" w:rsidRPr="006E09C6">
              <w:rPr>
                <w:rFonts w:ascii="Garamond" w:eastAsia="Times New Roman" w:hAnsi="Garamond" w:cs="Arial"/>
                <w:noProof/>
              </w:rPr>
              <w:t>3</w:t>
            </w:r>
          </w:p>
        </w:tc>
      </w:tr>
      <w:tr w:rsidR="00343D86" w:rsidRPr="006E09C6" w:rsidTr="008A40BB">
        <w:trPr>
          <w:cnfStyle w:val="000000010000"/>
          <w:trHeight w:val="255"/>
        </w:trPr>
        <w:tc>
          <w:tcPr>
            <w:cnfStyle w:val="001000000000"/>
            <w:tcW w:w="3940" w:type="dxa"/>
            <w:hideMark/>
          </w:tcPr>
          <w:p w:rsidR="00343D86" w:rsidRPr="006E09C6" w:rsidRDefault="00343D86" w:rsidP="00953C6F">
            <w:pPr>
              <w:jc w:val="both"/>
              <w:rPr>
                <w:rFonts w:ascii="Garamond" w:eastAsia="Times New Roman" w:hAnsi="Garamond" w:cs="Arial"/>
                <w:b w:val="0"/>
                <w:noProof/>
              </w:rPr>
            </w:pPr>
            <w:r w:rsidRPr="006E09C6">
              <w:rPr>
                <w:rFonts w:ascii="Garamond" w:eastAsia="Times New Roman" w:hAnsi="Garamond" w:cs="Arial"/>
                <w:b w:val="0"/>
                <w:noProof/>
              </w:rPr>
              <w:t>Jednom u 6 meseci</w:t>
            </w:r>
          </w:p>
        </w:tc>
        <w:tc>
          <w:tcPr>
            <w:tcW w:w="960" w:type="dxa"/>
            <w:hideMark/>
          </w:tcPr>
          <w:p w:rsidR="00343D86" w:rsidRPr="006E09C6" w:rsidRDefault="00B67F98" w:rsidP="00B67F98">
            <w:pPr>
              <w:jc w:val="both"/>
              <w:cnfStyle w:val="000000010000"/>
              <w:rPr>
                <w:rFonts w:ascii="Garamond" w:eastAsia="Times New Roman" w:hAnsi="Garamond" w:cs="Arial"/>
                <w:noProof/>
              </w:rPr>
            </w:pPr>
            <w:r w:rsidRPr="006E09C6">
              <w:rPr>
                <w:rFonts w:ascii="Garamond" w:eastAsia="Times New Roman" w:hAnsi="Garamond" w:cs="Arial"/>
                <w:noProof/>
              </w:rPr>
              <w:t>21</w:t>
            </w:r>
            <w:r w:rsidR="00343D86" w:rsidRPr="006E09C6">
              <w:rPr>
                <w:rFonts w:ascii="Garamond" w:eastAsia="Times New Roman" w:hAnsi="Garamond" w:cs="Arial"/>
                <w:noProof/>
              </w:rPr>
              <w:t>,</w:t>
            </w:r>
            <w:r w:rsidRPr="006E09C6">
              <w:rPr>
                <w:rFonts w:ascii="Garamond" w:eastAsia="Times New Roman" w:hAnsi="Garamond" w:cs="Arial"/>
                <w:noProof/>
              </w:rPr>
              <w:t>6</w:t>
            </w:r>
          </w:p>
        </w:tc>
      </w:tr>
      <w:tr w:rsidR="00343D86" w:rsidRPr="006E09C6" w:rsidTr="008A40BB">
        <w:trPr>
          <w:cnfStyle w:val="000000100000"/>
          <w:trHeight w:val="255"/>
        </w:trPr>
        <w:tc>
          <w:tcPr>
            <w:cnfStyle w:val="001000000000"/>
            <w:tcW w:w="3940" w:type="dxa"/>
            <w:hideMark/>
          </w:tcPr>
          <w:p w:rsidR="00343D86" w:rsidRPr="006E09C6" w:rsidRDefault="00343D86" w:rsidP="00953C6F">
            <w:pPr>
              <w:jc w:val="both"/>
              <w:rPr>
                <w:rFonts w:ascii="Garamond" w:eastAsia="Times New Roman" w:hAnsi="Garamond" w:cs="Arial"/>
                <w:b w:val="0"/>
                <w:noProof/>
              </w:rPr>
            </w:pPr>
            <w:r w:rsidRPr="006E09C6">
              <w:rPr>
                <w:rFonts w:ascii="Garamond" w:eastAsia="Times New Roman" w:hAnsi="Garamond" w:cs="Arial"/>
                <w:b w:val="0"/>
                <w:noProof/>
              </w:rPr>
              <w:t>Jednom u 3 meseca</w:t>
            </w:r>
          </w:p>
        </w:tc>
        <w:tc>
          <w:tcPr>
            <w:tcW w:w="960" w:type="dxa"/>
            <w:hideMark/>
          </w:tcPr>
          <w:p w:rsidR="00343D86" w:rsidRPr="006E09C6" w:rsidRDefault="00343D86" w:rsidP="00B67F98">
            <w:pPr>
              <w:jc w:val="both"/>
              <w:cnfStyle w:val="000000100000"/>
              <w:rPr>
                <w:rFonts w:ascii="Garamond" w:eastAsia="Times New Roman" w:hAnsi="Garamond" w:cs="Arial"/>
                <w:noProof/>
              </w:rPr>
            </w:pPr>
            <w:r w:rsidRPr="006E09C6">
              <w:rPr>
                <w:rFonts w:ascii="Garamond" w:eastAsia="Times New Roman" w:hAnsi="Garamond" w:cs="Arial"/>
                <w:noProof/>
              </w:rPr>
              <w:t>12,</w:t>
            </w:r>
            <w:r w:rsidR="00B67F98" w:rsidRPr="006E09C6">
              <w:rPr>
                <w:rFonts w:ascii="Garamond" w:eastAsia="Times New Roman" w:hAnsi="Garamond" w:cs="Arial"/>
                <w:noProof/>
              </w:rPr>
              <w:t>2</w:t>
            </w:r>
          </w:p>
        </w:tc>
      </w:tr>
      <w:tr w:rsidR="00343D86" w:rsidRPr="006E09C6" w:rsidTr="008A40BB">
        <w:trPr>
          <w:cnfStyle w:val="000000010000"/>
          <w:trHeight w:val="255"/>
        </w:trPr>
        <w:tc>
          <w:tcPr>
            <w:cnfStyle w:val="001000000000"/>
            <w:tcW w:w="3940" w:type="dxa"/>
            <w:hideMark/>
          </w:tcPr>
          <w:p w:rsidR="00343D86" w:rsidRPr="006E09C6" w:rsidRDefault="00343D86" w:rsidP="00953C6F">
            <w:pPr>
              <w:jc w:val="both"/>
              <w:rPr>
                <w:rFonts w:ascii="Garamond" w:eastAsia="Times New Roman" w:hAnsi="Garamond" w:cs="Arial"/>
                <w:b w:val="0"/>
                <w:noProof/>
              </w:rPr>
            </w:pPr>
            <w:r w:rsidRPr="006E09C6">
              <w:rPr>
                <w:rFonts w:ascii="Garamond" w:eastAsia="Times New Roman" w:hAnsi="Garamond" w:cs="Arial"/>
                <w:b w:val="0"/>
                <w:noProof/>
              </w:rPr>
              <w:t>Jednom mesecno</w:t>
            </w:r>
          </w:p>
        </w:tc>
        <w:tc>
          <w:tcPr>
            <w:tcW w:w="960" w:type="dxa"/>
            <w:hideMark/>
          </w:tcPr>
          <w:p w:rsidR="00343D86" w:rsidRPr="006E09C6" w:rsidRDefault="00343D86" w:rsidP="00B67F98">
            <w:pPr>
              <w:jc w:val="both"/>
              <w:cnfStyle w:val="000000010000"/>
              <w:rPr>
                <w:rFonts w:ascii="Garamond" w:eastAsia="Times New Roman" w:hAnsi="Garamond" w:cs="Arial"/>
                <w:noProof/>
              </w:rPr>
            </w:pPr>
            <w:r w:rsidRPr="006E09C6">
              <w:rPr>
                <w:rFonts w:ascii="Garamond" w:eastAsia="Times New Roman" w:hAnsi="Garamond" w:cs="Arial"/>
                <w:noProof/>
              </w:rPr>
              <w:t>1</w:t>
            </w:r>
            <w:r w:rsidR="00B67F98" w:rsidRPr="006E09C6">
              <w:rPr>
                <w:rFonts w:ascii="Garamond" w:eastAsia="Times New Roman" w:hAnsi="Garamond" w:cs="Arial"/>
                <w:noProof/>
              </w:rPr>
              <w:t>3</w:t>
            </w:r>
            <w:r w:rsidRPr="006E09C6">
              <w:rPr>
                <w:rFonts w:ascii="Garamond" w:eastAsia="Times New Roman" w:hAnsi="Garamond" w:cs="Arial"/>
                <w:noProof/>
              </w:rPr>
              <w:t>,</w:t>
            </w:r>
            <w:r w:rsidR="00B67F98" w:rsidRPr="006E09C6">
              <w:rPr>
                <w:rFonts w:ascii="Garamond" w:eastAsia="Times New Roman" w:hAnsi="Garamond" w:cs="Arial"/>
                <w:noProof/>
              </w:rPr>
              <w:t>8</w:t>
            </w:r>
          </w:p>
        </w:tc>
      </w:tr>
      <w:tr w:rsidR="00343D86" w:rsidRPr="006E09C6" w:rsidTr="008A40BB">
        <w:trPr>
          <w:cnfStyle w:val="000000100000"/>
          <w:trHeight w:val="255"/>
        </w:trPr>
        <w:tc>
          <w:tcPr>
            <w:cnfStyle w:val="001000000000"/>
            <w:tcW w:w="3940" w:type="dxa"/>
            <w:hideMark/>
          </w:tcPr>
          <w:p w:rsidR="00343D86" w:rsidRPr="006E09C6" w:rsidRDefault="00343D86" w:rsidP="00953C6F">
            <w:pPr>
              <w:jc w:val="both"/>
              <w:rPr>
                <w:rFonts w:ascii="Garamond" w:eastAsia="Times New Roman" w:hAnsi="Garamond" w:cs="Arial"/>
                <w:noProof/>
              </w:rPr>
            </w:pPr>
            <w:r w:rsidRPr="006E09C6">
              <w:rPr>
                <w:rFonts w:ascii="Garamond" w:eastAsia="Times New Roman" w:hAnsi="Garamond" w:cs="Arial"/>
                <w:noProof/>
              </w:rPr>
              <w:t>Total</w:t>
            </w:r>
          </w:p>
        </w:tc>
        <w:tc>
          <w:tcPr>
            <w:tcW w:w="960" w:type="dxa"/>
            <w:hideMark/>
          </w:tcPr>
          <w:p w:rsidR="00343D86" w:rsidRPr="006E09C6" w:rsidRDefault="00343D86" w:rsidP="00953C6F">
            <w:pPr>
              <w:jc w:val="both"/>
              <w:cnfStyle w:val="000000100000"/>
              <w:rPr>
                <w:rFonts w:ascii="Garamond" w:eastAsia="Times New Roman" w:hAnsi="Garamond" w:cs="Arial"/>
                <w:b/>
                <w:noProof/>
              </w:rPr>
            </w:pPr>
            <w:r w:rsidRPr="006E09C6">
              <w:rPr>
                <w:rFonts w:ascii="Garamond" w:eastAsia="Times New Roman" w:hAnsi="Garamond" w:cs="Arial"/>
                <w:b/>
                <w:noProof/>
              </w:rPr>
              <w:t>100,0</w:t>
            </w:r>
          </w:p>
        </w:tc>
      </w:tr>
    </w:tbl>
    <w:p w:rsidR="00343D86" w:rsidRDefault="00343D86" w:rsidP="00953C6F">
      <w:pPr>
        <w:jc w:val="both"/>
        <w:rPr>
          <w:rFonts w:ascii="Garamond" w:hAnsi="Garamond"/>
          <w:noProof/>
        </w:rPr>
      </w:pPr>
    </w:p>
    <w:p w:rsidR="006E09C6" w:rsidRPr="006E09C6" w:rsidRDefault="006E09C6" w:rsidP="00953C6F">
      <w:pPr>
        <w:jc w:val="both"/>
        <w:rPr>
          <w:rFonts w:ascii="Garamond" w:hAnsi="Garamond"/>
          <w:noProof/>
        </w:rPr>
      </w:pPr>
    </w:p>
    <w:p w:rsidR="00D738E3" w:rsidRDefault="00FF5793" w:rsidP="00953C6F">
      <w:pPr>
        <w:jc w:val="both"/>
        <w:rPr>
          <w:rFonts w:ascii="Garamond" w:hAnsi="Garamond"/>
          <w:noProof/>
        </w:rPr>
      </w:pPr>
      <w:r w:rsidRPr="006E09C6">
        <w:rPr>
          <w:rFonts w:ascii="Garamond" w:hAnsi="Garamond"/>
          <w:noProof/>
        </w:rPr>
        <w:t xml:space="preserve">Najveći deo ispitanika je spreman da </w:t>
      </w:r>
      <w:r w:rsidR="00DE74B5" w:rsidRPr="006E09C6">
        <w:rPr>
          <w:rFonts w:ascii="Garamond" w:hAnsi="Garamond"/>
          <w:noProof/>
        </w:rPr>
        <w:t xml:space="preserve">za Medijski fond </w:t>
      </w:r>
      <w:r w:rsidRPr="006E09C6">
        <w:rPr>
          <w:rFonts w:ascii="Garamond" w:hAnsi="Garamond"/>
          <w:noProof/>
        </w:rPr>
        <w:t xml:space="preserve">izdvoji </w:t>
      </w:r>
      <w:r w:rsidR="00DE74B5" w:rsidRPr="006E09C6">
        <w:rPr>
          <w:rFonts w:ascii="Garamond" w:hAnsi="Garamond"/>
          <w:noProof/>
        </w:rPr>
        <w:t xml:space="preserve">između </w:t>
      </w:r>
      <w:r w:rsidR="004503F5" w:rsidRPr="006E09C6">
        <w:rPr>
          <w:rFonts w:ascii="Garamond" w:hAnsi="Garamond"/>
          <w:noProof/>
        </w:rPr>
        <w:t>0-100</w:t>
      </w:r>
      <w:r w:rsidR="00DE74B5" w:rsidRPr="006E09C6">
        <w:rPr>
          <w:rFonts w:ascii="Garamond" w:hAnsi="Garamond"/>
          <w:noProof/>
        </w:rPr>
        <w:t xml:space="preserve"> dinara</w:t>
      </w:r>
      <w:r w:rsidR="00920CC9" w:rsidRPr="006E09C6">
        <w:rPr>
          <w:rFonts w:ascii="Garamond" w:hAnsi="Garamond"/>
          <w:noProof/>
        </w:rPr>
        <w:t xml:space="preserve">. Oko trećine ispitanika se opredeljuje za ovaj iznos bez obzira na radni status i visinu primanja. </w:t>
      </w:r>
      <w:r w:rsidR="00CD0ACA" w:rsidRPr="006E09C6">
        <w:rPr>
          <w:rFonts w:ascii="Garamond" w:hAnsi="Garamond"/>
          <w:noProof/>
        </w:rPr>
        <w:t xml:space="preserve">Iznose između 100 i 300dinara spremno je da izdvoji 8,3% ispitanika. </w:t>
      </w:r>
      <w:r w:rsidR="00920CC9" w:rsidRPr="006E09C6">
        <w:rPr>
          <w:rFonts w:ascii="Garamond" w:hAnsi="Garamond"/>
          <w:noProof/>
        </w:rPr>
        <w:t xml:space="preserve">Oko 15% ispitanika je spremno da izdvaja iznose koji su u intervalima između </w:t>
      </w:r>
      <w:r w:rsidR="00FD52DE" w:rsidRPr="006E09C6">
        <w:rPr>
          <w:rFonts w:ascii="Garamond" w:hAnsi="Garamond"/>
          <w:noProof/>
        </w:rPr>
        <w:t xml:space="preserve">300 i 2000 dinara na godišnjem nivou. Ispitanici iz kategorije primanja između 80000 i 120000 su se jedini opredeljivali da donacije u visini 5000 – 20000 dinara. </w:t>
      </w:r>
    </w:p>
    <w:p w:rsidR="006E09C6" w:rsidRDefault="006E09C6" w:rsidP="00953C6F">
      <w:pPr>
        <w:jc w:val="both"/>
        <w:rPr>
          <w:rFonts w:ascii="Garamond" w:hAnsi="Garamond"/>
          <w:noProof/>
        </w:rPr>
      </w:pPr>
    </w:p>
    <w:p w:rsidR="006E09C6" w:rsidRDefault="006E09C6" w:rsidP="00953C6F">
      <w:pPr>
        <w:jc w:val="both"/>
        <w:rPr>
          <w:rFonts w:ascii="Garamond" w:hAnsi="Garamond"/>
          <w:noProof/>
        </w:rPr>
      </w:pPr>
    </w:p>
    <w:p w:rsidR="006E09C6" w:rsidRPr="006E09C6" w:rsidRDefault="006E09C6" w:rsidP="00953C6F">
      <w:pPr>
        <w:jc w:val="both"/>
        <w:rPr>
          <w:rFonts w:ascii="Garamond" w:hAnsi="Garamond"/>
          <w:noProof/>
        </w:rPr>
      </w:pPr>
    </w:p>
    <w:p w:rsidR="00D738E3" w:rsidRPr="006E09C6" w:rsidRDefault="00FD52DE" w:rsidP="00953C6F">
      <w:pPr>
        <w:spacing w:after="0"/>
        <w:jc w:val="both"/>
        <w:rPr>
          <w:rFonts w:ascii="Garamond" w:hAnsi="Garamond"/>
          <w:noProof/>
        </w:rPr>
      </w:pPr>
      <w:r w:rsidRPr="006E09C6">
        <w:rPr>
          <w:rFonts w:ascii="Garamond" w:hAnsi="Garamond"/>
          <w:noProof/>
        </w:rPr>
        <w:lastRenderedPageBreak/>
        <w:t>T</w:t>
      </w:r>
      <w:r w:rsidR="00D738E3" w:rsidRPr="006E09C6">
        <w:rPr>
          <w:rFonts w:ascii="Garamond" w:hAnsi="Garamond"/>
          <w:noProof/>
        </w:rPr>
        <w:t>abela br.</w:t>
      </w:r>
      <w:r w:rsidR="00343D86" w:rsidRPr="006E09C6">
        <w:rPr>
          <w:rFonts w:ascii="Garamond" w:hAnsi="Garamond"/>
          <w:noProof/>
        </w:rPr>
        <w:t>2</w:t>
      </w:r>
      <w:r w:rsidR="00D738E3" w:rsidRPr="006E09C6">
        <w:rPr>
          <w:rFonts w:ascii="Garamond" w:hAnsi="Garamond"/>
          <w:noProof/>
        </w:rPr>
        <w:t xml:space="preserve"> – Visina donacija (u dinarima)</w:t>
      </w:r>
    </w:p>
    <w:tbl>
      <w:tblPr>
        <w:tblStyle w:val="MediumShading1-Accent5"/>
        <w:tblW w:w="4840" w:type="dxa"/>
        <w:tblLook w:val="04A0"/>
      </w:tblPr>
      <w:tblGrid>
        <w:gridCol w:w="3880"/>
        <w:gridCol w:w="960"/>
      </w:tblGrid>
      <w:tr w:rsidR="00D738E3" w:rsidRPr="006E09C6" w:rsidTr="008A40BB">
        <w:trPr>
          <w:cnfStyle w:val="100000000000"/>
          <w:trHeight w:val="255"/>
        </w:trPr>
        <w:tc>
          <w:tcPr>
            <w:cnfStyle w:val="001000000000"/>
            <w:tcW w:w="3880" w:type="dxa"/>
            <w:hideMark/>
          </w:tcPr>
          <w:p w:rsidR="00D738E3" w:rsidRPr="006E09C6" w:rsidRDefault="00D738E3" w:rsidP="00953C6F">
            <w:pPr>
              <w:jc w:val="both"/>
              <w:rPr>
                <w:rFonts w:ascii="Garamond" w:eastAsia="Times New Roman" w:hAnsi="Garamond" w:cs="Arial"/>
                <w:noProof/>
                <w:color w:val="auto"/>
              </w:rPr>
            </w:pPr>
          </w:p>
        </w:tc>
        <w:tc>
          <w:tcPr>
            <w:tcW w:w="960" w:type="dxa"/>
            <w:hideMark/>
          </w:tcPr>
          <w:p w:rsidR="00D738E3" w:rsidRPr="006E09C6" w:rsidRDefault="00D738E3" w:rsidP="00953C6F">
            <w:pPr>
              <w:jc w:val="both"/>
              <w:cnfStyle w:val="100000000000"/>
              <w:rPr>
                <w:rFonts w:ascii="Garamond" w:eastAsia="Times New Roman" w:hAnsi="Garamond" w:cs="Arial"/>
                <w:noProof/>
                <w:color w:val="auto"/>
              </w:rPr>
            </w:pPr>
          </w:p>
        </w:tc>
      </w:tr>
      <w:tr w:rsidR="004503F5" w:rsidRPr="006E09C6" w:rsidTr="007772C4">
        <w:trPr>
          <w:cnfStyle w:val="00000010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0-100</w:t>
            </w:r>
          </w:p>
        </w:tc>
        <w:tc>
          <w:tcPr>
            <w:tcW w:w="960" w:type="dxa"/>
            <w:vAlign w:val="center"/>
            <w:hideMark/>
          </w:tcPr>
          <w:p w:rsidR="004503F5" w:rsidRPr="006E09C6" w:rsidRDefault="004503F5" w:rsidP="0010464D">
            <w:pPr>
              <w:spacing w:line="320" w:lineRule="atLeast"/>
              <w:ind w:left="60" w:right="60"/>
              <w:jc w:val="right"/>
              <w:cnfStyle w:val="000000100000"/>
              <w:rPr>
                <w:rFonts w:ascii="Arial" w:hAnsi="Arial" w:cs="Arial"/>
                <w:sz w:val="18"/>
                <w:szCs w:val="18"/>
              </w:rPr>
            </w:pPr>
            <w:r w:rsidRPr="006E09C6">
              <w:rPr>
                <w:rFonts w:ascii="Arial" w:hAnsi="Arial" w:cs="Arial"/>
                <w:sz w:val="18"/>
                <w:szCs w:val="18"/>
              </w:rPr>
              <w:t>30.8</w:t>
            </w:r>
          </w:p>
        </w:tc>
      </w:tr>
      <w:tr w:rsidR="004503F5" w:rsidRPr="006E09C6" w:rsidTr="007772C4">
        <w:trPr>
          <w:cnfStyle w:val="00000001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100-300</w:t>
            </w:r>
          </w:p>
        </w:tc>
        <w:tc>
          <w:tcPr>
            <w:tcW w:w="960" w:type="dxa"/>
            <w:vAlign w:val="center"/>
            <w:hideMark/>
          </w:tcPr>
          <w:p w:rsidR="004503F5" w:rsidRPr="006E09C6" w:rsidRDefault="004503F5" w:rsidP="0010464D">
            <w:pPr>
              <w:spacing w:line="320" w:lineRule="atLeast"/>
              <w:ind w:left="60" w:right="60"/>
              <w:jc w:val="right"/>
              <w:cnfStyle w:val="000000010000"/>
              <w:rPr>
                <w:rFonts w:ascii="Arial" w:hAnsi="Arial" w:cs="Arial"/>
                <w:sz w:val="18"/>
                <w:szCs w:val="18"/>
              </w:rPr>
            </w:pPr>
            <w:r w:rsidRPr="006E09C6">
              <w:rPr>
                <w:rFonts w:ascii="Arial" w:hAnsi="Arial" w:cs="Arial"/>
                <w:sz w:val="18"/>
                <w:szCs w:val="18"/>
              </w:rPr>
              <w:t>8.3</w:t>
            </w:r>
          </w:p>
        </w:tc>
      </w:tr>
      <w:tr w:rsidR="004503F5" w:rsidRPr="006E09C6" w:rsidTr="007772C4">
        <w:trPr>
          <w:cnfStyle w:val="00000010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101-300</w:t>
            </w:r>
          </w:p>
        </w:tc>
        <w:tc>
          <w:tcPr>
            <w:tcW w:w="960" w:type="dxa"/>
            <w:vAlign w:val="center"/>
            <w:hideMark/>
          </w:tcPr>
          <w:p w:rsidR="004503F5" w:rsidRPr="006E09C6" w:rsidRDefault="004503F5" w:rsidP="0010464D">
            <w:pPr>
              <w:spacing w:line="320" w:lineRule="atLeast"/>
              <w:ind w:left="60" w:right="60"/>
              <w:jc w:val="right"/>
              <w:cnfStyle w:val="000000100000"/>
              <w:rPr>
                <w:rFonts w:ascii="Arial" w:hAnsi="Arial" w:cs="Arial"/>
                <w:sz w:val="18"/>
                <w:szCs w:val="18"/>
              </w:rPr>
            </w:pPr>
            <w:r w:rsidRPr="006E09C6">
              <w:rPr>
                <w:rFonts w:ascii="Arial" w:hAnsi="Arial" w:cs="Arial"/>
                <w:sz w:val="18"/>
                <w:szCs w:val="18"/>
              </w:rPr>
              <w:t>14.3</w:t>
            </w:r>
          </w:p>
        </w:tc>
      </w:tr>
      <w:tr w:rsidR="004503F5" w:rsidRPr="006E09C6" w:rsidTr="007772C4">
        <w:trPr>
          <w:cnfStyle w:val="00000001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301-500</w:t>
            </w:r>
          </w:p>
        </w:tc>
        <w:tc>
          <w:tcPr>
            <w:tcW w:w="960" w:type="dxa"/>
            <w:vAlign w:val="center"/>
            <w:hideMark/>
          </w:tcPr>
          <w:p w:rsidR="004503F5" w:rsidRPr="006E09C6" w:rsidRDefault="004503F5" w:rsidP="0010464D">
            <w:pPr>
              <w:spacing w:line="320" w:lineRule="atLeast"/>
              <w:ind w:left="60" w:right="60"/>
              <w:jc w:val="right"/>
              <w:cnfStyle w:val="000000010000"/>
              <w:rPr>
                <w:rFonts w:ascii="Arial" w:hAnsi="Arial" w:cs="Arial"/>
                <w:sz w:val="18"/>
                <w:szCs w:val="18"/>
              </w:rPr>
            </w:pPr>
            <w:r w:rsidRPr="006E09C6">
              <w:rPr>
                <w:rFonts w:ascii="Arial" w:hAnsi="Arial" w:cs="Arial"/>
                <w:sz w:val="18"/>
                <w:szCs w:val="18"/>
              </w:rPr>
              <w:t>16.6</w:t>
            </w:r>
          </w:p>
        </w:tc>
      </w:tr>
      <w:tr w:rsidR="004503F5" w:rsidRPr="006E09C6" w:rsidTr="007772C4">
        <w:trPr>
          <w:cnfStyle w:val="00000010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501-1000</w:t>
            </w:r>
          </w:p>
        </w:tc>
        <w:tc>
          <w:tcPr>
            <w:tcW w:w="960" w:type="dxa"/>
            <w:vAlign w:val="center"/>
            <w:hideMark/>
          </w:tcPr>
          <w:p w:rsidR="004503F5" w:rsidRPr="006E09C6" w:rsidRDefault="004503F5" w:rsidP="0010464D">
            <w:pPr>
              <w:spacing w:line="320" w:lineRule="atLeast"/>
              <w:ind w:left="60" w:right="60"/>
              <w:jc w:val="right"/>
              <w:cnfStyle w:val="000000100000"/>
              <w:rPr>
                <w:rFonts w:ascii="Arial" w:hAnsi="Arial" w:cs="Arial"/>
                <w:sz w:val="18"/>
                <w:szCs w:val="18"/>
              </w:rPr>
            </w:pPr>
            <w:r w:rsidRPr="006E09C6">
              <w:rPr>
                <w:rFonts w:ascii="Arial" w:hAnsi="Arial" w:cs="Arial"/>
                <w:sz w:val="18"/>
                <w:szCs w:val="18"/>
              </w:rPr>
              <w:t>15.4</w:t>
            </w:r>
          </w:p>
        </w:tc>
      </w:tr>
      <w:tr w:rsidR="004503F5" w:rsidRPr="006E09C6" w:rsidTr="007772C4">
        <w:trPr>
          <w:cnfStyle w:val="00000001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1000-2000</w:t>
            </w:r>
          </w:p>
        </w:tc>
        <w:tc>
          <w:tcPr>
            <w:tcW w:w="960" w:type="dxa"/>
            <w:vAlign w:val="center"/>
            <w:hideMark/>
          </w:tcPr>
          <w:p w:rsidR="004503F5" w:rsidRPr="006E09C6" w:rsidRDefault="004503F5" w:rsidP="0010464D">
            <w:pPr>
              <w:spacing w:line="320" w:lineRule="atLeast"/>
              <w:ind w:left="60" w:right="60"/>
              <w:jc w:val="right"/>
              <w:cnfStyle w:val="000000010000"/>
              <w:rPr>
                <w:rFonts w:ascii="Arial" w:hAnsi="Arial" w:cs="Arial"/>
                <w:sz w:val="18"/>
                <w:szCs w:val="18"/>
              </w:rPr>
            </w:pPr>
            <w:r w:rsidRPr="006E09C6">
              <w:rPr>
                <w:rFonts w:ascii="Arial" w:hAnsi="Arial" w:cs="Arial"/>
                <w:sz w:val="18"/>
                <w:szCs w:val="18"/>
              </w:rPr>
              <w:t>5.5</w:t>
            </w:r>
          </w:p>
        </w:tc>
      </w:tr>
      <w:tr w:rsidR="004503F5" w:rsidRPr="006E09C6" w:rsidTr="007772C4">
        <w:trPr>
          <w:cnfStyle w:val="00000010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2000-5000</w:t>
            </w:r>
          </w:p>
        </w:tc>
        <w:tc>
          <w:tcPr>
            <w:tcW w:w="960" w:type="dxa"/>
            <w:vAlign w:val="center"/>
            <w:hideMark/>
          </w:tcPr>
          <w:p w:rsidR="004503F5" w:rsidRPr="006E09C6" w:rsidRDefault="004503F5" w:rsidP="0010464D">
            <w:pPr>
              <w:spacing w:line="320" w:lineRule="atLeast"/>
              <w:ind w:left="60" w:right="60"/>
              <w:jc w:val="right"/>
              <w:cnfStyle w:val="000000100000"/>
              <w:rPr>
                <w:rFonts w:ascii="Arial" w:hAnsi="Arial" w:cs="Arial"/>
                <w:sz w:val="18"/>
                <w:szCs w:val="18"/>
              </w:rPr>
            </w:pPr>
            <w:r w:rsidRPr="006E09C6">
              <w:rPr>
                <w:rFonts w:ascii="Arial" w:hAnsi="Arial" w:cs="Arial"/>
                <w:sz w:val="18"/>
                <w:szCs w:val="18"/>
              </w:rPr>
              <w:t>4.3</w:t>
            </w:r>
          </w:p>
        </w:tc>
      </w:tr>
      <w:tr w:rsidR="004503F5" w:rsidRPr="006E09C6" w:rsidTr="007772C4">
        <w:trPr>
          <w:cnfStyle w:val="00000001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5000-10000</w:t>
            </w:r>
          </w:p>
        </w:tc>
        <w:tc>
          <w:tcPr>
            <w:tcW w:w="960" w:type="dxa"/>
            <w:vAlign w:val="center"/>
            <w:hideMark/>
          </w:tcPr>
          <w:p w:rsidR="004503F5" w:rsidRPr="006E09C6" w:rsidRDefault="004503F5" w:rsidP="0010464D">
            <w:pPr>
              <w:spacing w:line="320" w:lineRule="atLeast"/>
              <w:ind w:left="60" w:right="60"/>
              <w:jc w:val="right"/>
              <w:cnfStyle w:val="000000010000"/>
              <w:rPr>
                <w:rFonts w:ascii="Arial" w:hAnsi="Arial" w:cs="Arial"/>
                <w:sz w:val="18"/>
                <w:szCs w:val="18"/>
              </w:rPr>
            </w:pPr>
            <w:r w:rsidRPr="006E09C6">
              <w:rPr>
                <w:rFonts w:ascii="Arial" w:hAnsi="Arial" w:cs="Arial"/>
                <w:sz w:val="18"/>
                <w:szCs w:val="18"/>
              </w:rPr>
              <w:t>2.2</w:t>
            </w:r>
          </w:p>
        </w:tc>
      </w:tr>
      <w:tr w:rsidR="004503F5" w:rsidRPr="006E09C6" w:rsidTr="007772C4">
        <w:trPr>
          <w:cnfStyle w:val="00000010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10000-20000</w:t>
            </w:r>
          </w:p>
        </w:tc>
        <w:tc>
          <w:tcPr>
            <w:tcW w:w="960" w:type="dxa"/>
            <w:vAlign w:val="center"/>
            <w:hideMark/>
          </w:tcPr>
          <w:p w:rsidR="004503F5" w:rsidRPr="006E09C6" w:rsidRDefault="004503F5" w:rsidP="0010464D">
            <w:pPr>
              <w:spacing w:line="320" w:lineRule="atLeast"/>
              <w:ind w:left="60" w:right="60"/>
              <w:jc w:val="right"/>
              <w:cnfStyle w:val="000000100000"/>
              <w:rPr>
                <w:rFonts w:ascii="Arial" w:hAnsi="Arial" w:cs="Arial"/>
                <w:sz w:val="18"/>
                <w:szCs w:val="18"/>
              </w:rPr>
            </w:pPr>
            <w:r w:rsidRPr="006E09C6">
              <w:rPr>
                <w:rFonts w:ascii="Arial" w:hAnsi="Arial" w:cs="Arial"/>
                <w:sz w:val="18"/>
                <w:szCs w:val="18"/>
              </w:rPr>
              <w:t>.7</w:t>
            </w:r>
          </w:p>
        </w:tc>
      </w:tr>
      <w:tr w:rsidR="004503F5" w:rsidRPr="006E09C6" w:rsidTr="007772C4">
        <w:trPr>
          <w:cnfStyle w:val="00000001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50000-100000</w:t>
            </w:r>
          </w:p>
        </w:tc>
        <w:tc>
          <w:tcPr>
            <w:tcW w:w="960" w:type="dxa"/>
            <w:vAlign w:val="center"/>
            <w:hideMark/>
          </w:tcPr>
          <w:p w:rsidR="004503F5" w:rsidRPr="006E09C6" w:rsidRDefault="004503F5" w:rsidP="0010464D">
            <w:pPr>
              <w:spacing w:line="320" w:lineRule="atLeast"/>
              <w:ind w:left="60" w:right="60"/>
              <w:jc w:val="right"/>
              <w:cnfStyle w:val="000000010000"/>
              <w:rPr>
                <w:rFonts w:ascii="Arial" w:hAnsi="Arial" w:cs="Arial"/>
                <w:sz w:val="18"/>
                <w:szCs w:val="18"/>
              </w:rPr>
            </w:pPr>
            <w:r w:rsidRPr="006E09C6">
              <w:rPr>
                <w:rFonts w:ascii="Arial" w:hAnsi="Arial" w:cs="Arial"/>
                <w:sz w:val="18"/>
                <w:szCs w:val="18"/>
              </w:rPr>
              <w:t>.7</w:t>
            </w:r>
          </w:p>
        </w:tc>
      </w:tr>
      <w:tr w:rsidR="004503F5" w:rsidRPr="006E09C6" w:rsidTr="007772C4">
        <w:trPr>
          <w:cnfStyle w:val="000000100000"/>
          <w:trHeight w:val="255"/>
        </w:trPr>
        <w:tc>
          <w:tcPr>
            <w:cnfStyle w:val="001000000000"/>
            <w:tcW w:w="3880" w:type="dxa"/>
            <w:hideMark/>
          </w:tcPr>
          <w:p w:rsidR="004503F5" w:rsidRPr="006E09C6" w:rsidRDefault="004503F5" w:rsidP="00953C6F">
            <w:pPr>
              <w:jc w:val="both"/>
              <w:rPr>
                <w:rFonts w:ascii="Garamond" w:eastAsia="Times New Roman" w:hAnsi="Garamond" w:cs="Arial"/>
                <w:b w:val="0"/>
                <w:noProof/>
              </w:rPr>
            </w:pPr>
            <w:r w:rsidRPr="006E09C6">
              <w:rPr>
                <w:rFonts w:ascii="Garamond" w:eastAsia="Times New Roman" w:hAnsi="Garamond" w:cs="Arial"/>
                <w:b w:val="0"/>
                <w:noProof/>
              </w:rPr>
              <w:t>100000 i vise</w:t>
            </w:r>
          </w:p>
        </w:tc>
        <w:tc>
          <w:tcPr>
            <w:tcW w:w="960" w:type="dxa"/>
            <w:vAlign w:val="center"/>
            <w:hideMark/>
          </w:tcPr>
          <w:p w:rsidR="004503F5" w:rsidRPr="006E09C6" w:rsidRDefault="004503F5" w:rsidP="0010464D">
            <w:pPr>
              <w:spacing w:line="320" w:lineRule="atLeast"/>
              <w:ind w:left="60" w:right="60"/>
              <w:jc w:val="right"/>
              <w:cnfStyle w:val="000000100000"/>
              <w:rPr>
                <w:rFonts w:ascii="Arial" w:hAnsi="Arial" w:cs="Arial"/>
                <w:sz w:val="18"/>
                <w:szCs w:val="18"/>
              </w:rPr>
            </w:pPr>
            <w:r w:rsidRPr="006E09C6">
              <w:rPr>
                <w:rFonts w:ascii="Arial" w:hAnsi="Arial" w:cs="Arial"/>
                <w:sz w:val="18"/>
                <w:szCs w:val="18"/>
              </w:rPr>
              <w:t>1.1</w:t>
            </w:r>
          </w:p>
        </w:tc>
      </w:tr>
      <w:tr w:rsidR="004503F5" w:rsidRPr="006E09C6" w:rsidTr="007772C4">
        <w:trPr>
          <w:cnfStyle w:val="000000010000"/>
          <w:trHeight w:val="255"/>
        </w:trPr>
        <w:tc>
          <w:tcPr>
            <w:cnfStyle w:val="001000000000"/>
            <w:tcW w:w="3880" w:type="dxa"/>
            <w:hideMark/>
          </w:tcPr>
          <w:p w:rsidR="004503F5" w:rsidRPr="006E09C6" w:rsidRDefault="004503F5" w:rsidP="00953C6F">
            <w:pPr>
              <w:jc w:val="both"/>
              <w:rPr>
                <w:rFonts w:ascii="Garamond" w:eastAsia="Times New Roman" w:hAnsi="Garamond" w:cs="Arial"/>
                <w:noProof/>
              </w:rPr>
            </w:pPr>
            <w:r w:rsidRPr="006E09C6">
              <w:rPr>
                <w:rFonts w:ascii="Garamond" w:eastAsia="Times New Roman" w:hAnsi="Garamond" w:cs="Arial"/>
                <w:noProof/>
              </w:rPr>
              <w:t>Total</w:t>
            </w:r>
          </w:p>
        </w:tc>
        <w:tc>
          <w:tcPr>
            <w:tcW w:w="960" w:type="dxa"/>
            <w:vAlign w:val="center"/>
            <w:hideMark/>
          </w:tcPr>
          <w:p w:rsidR="004503F5" w:rsidRPr="006E09C6" w:rsidRDefault="004503F5" w:rsidP="0010464D">
            <w:pPr>
              <w:spacing w:line="320" w:lineRule="atLeast"/>
              <w:ind w:left="60" w:right="60"/>
              <w:jc w:val="right"/>
              <w:cnfStyle w:val="000000010000"/>
              <w:rPr>
                <w:rFonts w:ascii="Arial" w:hAnsi="Arial" w:cs="Arial"/>
                <w:sz w:val="18"/>
                <w:szCs w:val="18"/>
              </w:rPr>
            </w:pPr>
            <w:r w:rsidRPr="006E09C6">
              <w:rPr>
                <w:rFonts w:ascii="Arial" w:hAnsi="Arial" w:cs="Arial"/>
                <w:sz w:val="18"/>
                <w:szCs w:val="18"/>
              </w:rPr>
              <w:t>100</w:t>
            </w:r>
          </w:p>
        </w:tc>
      </w:tr>
    </w:tbl>
    <w:p w:rsidR="00C51477" w:rsidRPr="006E09C6" w:rsidRDefault="00C51477" w:rsidP="00953C6F">
      <w:pPr>
        <w:jc w:val="both"/>
        <w:rPr>
          <w:rFonts w:ascii="Garamond" w:eastAsia="Times New Roman" w:hAnsi="Garamond" w:cstheme="minorHAnsi"/>
          <w:noProof/>
        </w:rPr>
      </w:pPr>
    </w:p>
    <w:p w:rsidR="00C460DD" w:rsidRPr="006E09C6" w:rsidRDefault="00C460DD" w:rsidP="00953C6F">
      <w:pPr>
        <w:jc w:val="both"/>
        <w:rPr>
          <w:rFonts w:ascii="Garamond" w:eastAsia="Times New Roman" w:hAnsi="Garamond" w:cstheme="minorHAnsi"/>
          <w:noProof/>
        </w:rPr>
      </w:pPr>
      <w:r w:rsidRPr="006E09C6">
        <w:rPr>
          <w:rFonts w:ascii="Garamond" w:eastAsia="Times New Roman" w:hAnsi="Garamond" w:cstheme="minorHAnsi"/>
          <w:noProof/>
        </w:rPr>
        <w:t>Građani ispoljavaju najviše spremnosti za izdvajanje za razvoj obrazovnih programa u medijima, njih čak 7</w:t>
      </w:r>
      <w:r w:rsidR="00A70608" w:rsidRPr="006E09C6">
        <w:rPr>
          <w:rFonts w:ascii="Garamond" w:eastAsia="Times New Roman" w:hAnsi="Garamond" w:cstheme="minorHAnsi"/>
          <w:noProof/>
        </w:rPr>
        <w:t>5</w:t>
      </w:r>
      <w:r w:rsidRPr="006E09C6">
        <w:rPr>
          <w:rFonts w:ascii="Garamond" w:eastAsia="Times New Roman" w:hAnsi="Garamond" w:cstheme="minorHAnsi"/>
          <w:noProof/>
        </w:rPr>
        <w:t>,</w:t>
      </w:r>
      <w:r w:rsidR="00A70608" w:rsidRPr="006E09C6">
        <w:rPr>
          <w:rFonts w:ascii="Garamond" w:eastAsia="Times New Roman" w:hAnsi="Garamond" w:cstheme="minorHAnsi"/>
          <w:noProof/>
        </w:rPr>
        <w:t>7</w:t>
      </w:r>
      <w:r w:rsidRPr="006E09C6">
        <w:rPr>
          <w:rFonts w:ascii="Garamond" w:eastAsia="Times New Roman" w:hAnsi="Garamond" w:cstheme="minorHAnsi"/>
          <w:noProof/>
        </w:rPr>
        <w:t>%.</w:t>
      </w:r>
      <w:r w:rsidR="007D6468" w:rsidRPr="006E09C6">
        <w:rPr>
          <w:rFonts w:ascii="Garamond" w:eastAsia="Times New Roman" w:hAnsi="Garamond" w:cstheme="minorHAnsi"/>
          <w:noProof/>
        </w:rPr>
        <w:t xml:space="preserve"> </w:t>
      </w:r>
      <w:r w:rsidRPr="006E09C6">
        <w:rPr>
          <w:rFonts w:ascii="Garamond" w:eastAsia="Times New Roman" w:hAnsi="Garamond" w:cstheme="minorHAnsi"/>
          <w:noProof/>
        </w:rPr>
        <w:t>Za njima sledi razvoj sadržaja iz oblasti kulture za koje bi bilo spremno da izdvoji sredsta nešto više od polovine ispitanika (5</w:t>
      </w:r>
      <w:r w:rsidR="00A70608" w:rsidRPr="006E09C6">
        <w:rPr>
          <w:rFonts w:ascii="Garamond" w:eastAsia="Times New Roman" w:hAnsi="Garamond" w:cstheme="minorHAnsi"/>
          <w:noProof/>
        </w:rPr>
        <w:t>3</w:t>
      </w:r>
      <w:r w:rsidRPr="006E09C6">
        <w:rPr>
          <w:rFonts w:ascii="Garamond" w:eastAsia="Times New Roman" w:hAnsi="Garamond" w:cstheme="minorHAnsi"/>
          <w:noProof/>
        </w:rPr>
        <w:t>,1%)</w:t>
      </w:r>
      <w:r w:rsidR="009556C4" w:rsidRPr="006E09C6">
        <w:rPr>
          <w:rFonts w:ascii="Garamond" w:eastAsia="Times New Roman" w:hAnsi="Garamond" w:cstheme="minorHAnsi"/>
          <w:noProof/>
        </w:rPr>
        <w:t>,</w:t>
      </w:r>
      <w:r w:rsidRPr="006E09C6">
        <w:rPr>
          <w:rFonts w:ascii="Garamond" w:eastAsia="Times New Roman" w:hAnsi="Garamond" w:cstheme="minorHAnsi"/>
          <w:noProof/>
        </w:rPr>
        <w:t xml:space="preserve"> istraživačko novinarstvo (4</w:t>
      </w:r>
      <w:r w:rsidR="00A70608" w:rsidRPr="006E09C6">
        <w:rPr>
          <w:rFonts w:ascii="Garamond" w:eastAsia="Times New Roman" w:hAnsi="Garamond" w:cstheme="minorHAnsi"/>
          <w:noProof/>
        </w:rPr>
        <w:t>3</w:t>
      </w:r>
      <w:r w:rsidRPr="006E09C6">
        <w:rPr>
          <w:rFonts w:ascii="Garamond" w:eastAsia="Times New Roman" w:hAnsi="Garamond" w:cstheme="minorHAnsi"/>
          <w:noProof/>
        </w:rPr>
        <w:t>,</w:t>
      </w:r>
      <w:r w:rsidR="00A70608" w:rsidRPr="006E09C6">
        <w:rPr>
          <w:rFonts w:ascii="Garamond" w:eastAsia="Times New Roman" w:hAnsi="Garamond" w:cstheme="minorHAnsi"/>
          <w:noProof/>
        </w:rPr>
        <w:t>3</w:t>
      </w:r>
      <w:r w:rsidRPr="006E09C6">
        <w:rPr>
          <w:rFonts w:ascii="Garamond" w:eastAsia="Times New Roman" w:hAnsi="Garamond" w:cstheme="minorHAnsi"/>
          <w:noProof/>
        </w:rPr>
        <w:t>%)</w:t>
      </w:r>
      <w:r w:rsidR="009556C4" w:rsidRPr="006E09C6">
        <w:rPr>
          <w:rFonts w:ascii="Garamond" w:eastAsia="Times New Roman" w:hAnsi="Garamond" w:cstheme="minorHAnsi"/>
          <w:noProof/>
        </w:rPr>
        <w:t xml:space="preserve"> i kvalitetan informativni program (39,</w:t>
      </w:r>
      <w:r w:rsidR="00A70608" w:rsidRPr="006E09C6">
        <w:rPr>
          <w:rFonts w:ascii="Garamond" w:eastAsia="Times New Roman" w:hAnsi="Garamond" w:cstheme="minorHAnsi"/>
          <w:noProof/>
        </w:rPr>
        <w:t>5</w:t>
      </w:r>
      <w:r w:rsidR="009556C4" w:rsidRPr="006E09C6">
        <w:rPr>
          <w:rFonts w:ascii="Garamond" w:eastAsia="Times New Roman" w:hAnsi="Garamond" w:cstheme="minorHAnsi"/>
          <w:noProof/>
        </w:rPr>
        <w:t>%)</w:t>
      </w:r>
      <w:r w:rsidRPr="006E09C6">
        <w:rPr>
          <w:rFonts w:ascii="Garamond" w:eastAsia="Times New Roman" w:hAnsi="Garamond" w:cstheme="minorHAnsi"/>
          <w:noProof/>
        </w:rPr>
        <w:t xml:space="preserve">. </w:t>
      </w:r>
      <w:r w:rsidR="00132231" w:rsidRPr="006E09C6">
        <w:rPr>
          <w:rFonts w:ascii="Garamond" w:eastAsia="Times New Roman" w:hAnsi="Garamond" w:cstheme="minorHAnsi"/>
          <w:noProof/>
        </w:rPr>
        <w:t xml:space="preserve">Četvrtina ispitanika se opredeljuje za razvoj kvalitetnih zabavnih programa i tematskih emisija. </w:t>
      </w:r>
    </w:p>
    <w:p w:rsidR="00C460DD" w:rsidRPr="006E09C6" w:rsidRDefault="007D6468" w:rsidP="00953C6F">
      <w:pPr>
        <w:spacing w:after="0"/>
        <w:jc w:val="both"/>
        <w:rPr>
          <w:rFonts w:ascii="Garamond" w:eastAsia="Times New Roman" w:hAnsi="Garamond" w:cstheme="minorHAnsi"/>
          <w:noProof/>
        </w:rPr>
      </w:pPr>
      <w:r w:rsidRPr="006E09C6">
        <w:rPr>
          <w:rFonts w:ascii="Garamond" w:eastAsia="Times New Roman" w:hAnsi="Garamond" w:cstheme="minorHAnsi"/>
          <w:noProof/>
        </w:rPr>
        <w:t>Grafikon br.</w:t>
      </w:r>
      <w:r w:rsidR="005C31AC" w:rsidRPr="006E09C6">
        <w:rPr>
          <w:rFonts w:ascii="Garamond" w:eastAsia="Times New Roman" w:hAnsi="Garamond" w:cstheme="minorHAnsi"/>
          <w:noProof/>
        </w:rPr>
        <w:t>10</w:t>
      </w:r>
      <w:r w:rsidRPr="006E09C6">
        <w:rPr>
          <w:rFonts w:ascii="Garamond" w:eastAsia="Times New Roman" w:hAnsi="Garamond" w:cstheme="minorHAnsi"/>
          <w:noProof/>
        </w:rPr>
        <w:t xml:space="preserve"> – Za razvoj kojih vrsta programa biste izdvajali sredstva?</w:t>
      </w:r>
    </w:p>
    <w:p w:rsidR="00D738E3" w:rsidRDefault="004B7C57" w:rsidP="00953C6F">
      <w:pPr>
        <w:jc w:val="both"/>
        <w:rPr>
          <w:rFonts w:ascii="Garamond" w:eastAsia="Times New Roman" w:hAnsi="Garamond" w:cstheme="minorHAnsi"/>
          <w:noProof/>
        </w:rPr>
      </w:pPr>
      <w:r w:rsidRPr="006E09C6">
        <w:rPr>
          <w:rFonts w:ascii="Garamond" w:eastAsia="Times New Roman" w:hAnsi="Garamond" w:cstheme="minorHAnsi"/>
          <w:noProof/>
        </w:rPr>
        <w:drawing>
          <wp:inline distT="0" distB="0" distL="0" distR="0">
            <wp:extent cx="6381750" cy="3619500"/>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09C6" w:rsidRDefault="006E09C6" w:rsidP="00953C6F">
      <w:pPr>
        <w:jc w:val="both"/>
        <w:rPr>
          <w:rFonts w:ascii="Garamond" w:eastAsia="Times New Roman" w:hAnsi="Garamond" w:cstheme="minorHAnsi"/>
          <w:noProof/>
        </w:rPr>
      </w:pPr>
    </w:p>
    <w:p w:rsidR="006E09C6" w:rsidRDefault="006E09C6" w:rsidP="00953C6F">
      <w:pPr>
        <w:jc w:val="both"/>
        <w:rPr>
          <w:rFonts w:ascii="Garamond" w:eastAsia="Times New Roman" w:hAnsi="Garamond" w:cstheme="minorHAnsi"/>
          <w:noProof/>
        </w:rPr>
      </w:pPr>
    </w:p>
    <w:p w:rsidR="006E09C6" w:rsidRPr="006E09C6" w:rsidRDefault="006E09C6" w:rsidP="00953C6F">
      <w:pPr>
        <w:jc w:val="both"/>
        <w:rPr>
          <w:rFonts w:ascii="Garamond" w:eastAsia="Times New Roman" w:hAnsi="Garamond" w:cstheme="minorHAnsi"/>
          <w:noProof/>
        </w:rPr>
      </w:pPr>
    </w:p>
    <w:tbl>
      <w:tblPr>
        <w:tblW w:w="9245" w:type="dxa"/>
        <w:tblLook w:val="04A0"/>
      </w:tblPr>
      <w:tblGrid>
        <w:gridCol w:w="8585"/>
        <w:gridCol w:w="660"/>
      </w:tblGrid>
      <w:tr w:rsidR="004B7C57" w:rsidRPr="006E09C6" w:rsidTr="00093F0B">
        <w:trPr>
          <w:trHeight w:val="255"/>
        </w:trPr>
        <w:tc>
          <w:tcPr>
            <w:tcW w:w="8567" w:type="dxa"/>
            <w:tcBorders>
              <w:top w:val="nil"/>
              <w:left w:val="nil"/>
              <w:bottom w:val="nil"/>
              <w:right w:val="nil"/>
            </w:tcBorders>
            <w:shd w:val="clear" w:color="auto" w:fill="auto"/>
            <w:noWrap/>
            <w:vAlign w:val="bottom"/>
            <w:hideMark/>
          </w:tcPr>
          <w:p w:rsidR="00093F0B" w:rsidRPr="006E09C6" w:rsidRDefault="00093F0B" w:rsidP="00953C6F">
            <w:pPr>
              <w:spacing w:after="0" w:line="240" w:lineRule="auto"/>
              <w:jc w:val="both"/>
              <w:rPr>
                <w:rFonts w:ascii="Garamond" w:eastAsia="Times New Roman" w:hAnsi="Garamond" w:cs="Arial"/>
                <w:noProof/>
              </w:rPr>
            </w:pPr>
          </w:p>
          <w:p w:rsidR="004B7C57" w:rsidRPr="006E09C6" w:rsidRDefault="00132231" w:rsidP="00953C6F">
            <w:pPr>
              <w:spacing w:after="0" w:line="240" w:lineRule="auto"/>
              <w:jc w:val="both"/>
              <w:rPr>
                <w:rFonts w:ascii="Garamond" w:eastAsia="Times New Roman" w:hAnsi="Garamond" w:cs="Arial"/>
                <w:noProof/>
              </w:rPr>
            </w:pPr>
            <w:r w:rsidRPr="006E09C6">
              <w:rPr>
                <w:rFonts w:ascii="Garamond" w:eastAsia="Times New Roman" w:hAnsi="Garamond" w:cs="Arial"/>
                <w:noProof/>
              </w:rPr>
              <w:t>Grafikon br.1</w:t>
            </w:r>
            <w:r w:rsidR="005C31AC" w:rsidRPr="006E09C6">
              <w:rPr>
                <w:rFonts w:ascii="Garamond" w:eastAsia="Times New Roman" w:hAnsi="Garamond" w:cs="Arial"/>
                <w:noProof/>
              </w:rPr>
              <w:t>1</w:t>
            </w:r>
            <w:r w:rsidRPr="006E09C6">
              <w:rPr>
                <w:rFonts w:ascii="Garamond" w:eastAsia="Times New Roman" w:hAnsi="Garamond" w:cs="Arial"/>
                <w:noProof/>
              </w:rPr>
              <w:t xml:space="preserve">  – Načini za ulaganje u Medijski fond</w:t>
            </w:r>
          </w:p>
          <w:p w:rsidR="008A40BB" w:rsidRPr="006E09C6" w:rsidRDefault="008A40BB" w:rsidP="00953C6F">
            <w:pPr>
              <w:spacing w:after="0" w:line="240" w:lineRule="auto"/>
              <w:jc w:val="both"/>
              <w:rPr>
                <w:rFonts w:ascii="Garamond" w:eastAsia="Times New Roman" w:hAnsi="Garamond" w:cs="Arial"/>
                <w:noProof/>
              </w:rPr>
            </w:pPr>
            <w:r w:rsidRPr="006E09C6">
              <w:rPr>
                <w:rFonts w:ascii="Garamond" w:eastAsia="Times New Roman" w:hAnsi="Garamond" w:cs="Arial"/>
                <w:noProof/>
              </w:rPr>
              <w:drawing>
                <wp:inline distT="0" distB="0" distL="0" distR="0">
                  <wp:extent cx="5486400" cy="3057525"/>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678" w:type="dxa"/>
            <w:tcBorders>
              <w:top w:val="nil"/>
              <w:left w:val="nil"/>
              <w:bottom w:val="nil"/>
              <w:right w:val="nil"/>
            </w:tcBorders>
            <w:shd w:val="clear" w:color="auto" w:fill="auto"/>
            <w:noWrap/>
            <w:vAlign w:val="bottom"/>
            <w:hideMark/>
          </w:tcPr>
          <w:p w:rsidR="004B7C57" w:rsidRPr="006E09C6" w:rsidRDefault="004B7C57" w:rsidP="00953C6F">
            <w:pPr>
              <w:spacing w:after="0" w:line="240" w:lineRule="auto"/>
              <w:jc w:val="both"/>
              <w:rPr>
                <w:rFonts w:ascii="Garamond" w:eastAsia="Times New Roman" w:hAnsi="Garamond" w:cs="Arial"/>
                <w:noProof/>
              </w:rPr>
            </w:pPr>
          </w:p>
        </w:tc>
      </w:tr>
    </w:tbl>
    <w:p w:rsidR="00954841" w:rsidRPr="006E09C6" w:rsidRDefault="00954841" w:rsidP="00953C6F">
      <w:pPr>
        <w:jc w:val="both"/>
        <w:rPr>
          <w:rFonts w:ascii="Garamond" w:eastAsia="Times New Roman" w:hAnsi="Garamond" w:cstheme="minorHAnsi"/>
          <w:noProof/>
        </w:rPr>
      </w:pPr>
    </w:p>
    <w:p w:rsidR="00954841" w:rsidRPr="006E09C6" w:rsidRDefault="00954841" w:rsidP="00953C6F">
      <w:pPr>
        <w:jc w:val="both"/>
        <w:rPr>
          <w:rFonts w:ascii="Garamond" w:eastAsia="Times New Roman" w:hAnsi="Garamond" w:cstheme="minorHAnsi"/>
          <w:noProof/>
        </w:rPr>
      </w:pPr>
    </w:p>
    <w:p w:rsidR="004B7C57" w:rsidRPr="006E09C6" w:rsidRDefault="00DA3229" w:rsidP="00953C6F">
      <w:pPr>
        <w:jc w:val="both"/>
        <w:rPr>
          <w:rFonts w:ascii="Garamond" w:eastAsia="Times New Roman" w:hAnsi="Garamond" w:cstheme="minorHAnsi"/>
          <w:noProof/>
        </w:rPr>
      </w:pPr>
      <w:r w:rsidRPr="006E09C6">
        <w:rPr>
          <w:rFonts w:ascii="Garamond" w:eastAsia="Times New Roman" w:hAnsi="Garamond" w:cstheme="minorHAnsi"/>
          <w:noProof/>
        </w:rPr>
        <w:t xml:space="preserve">Glavna motivacija građana za ulaganje u Medijski fond i dobrotrvorna davanja uopšte, dolazi iz želje za unapređenjem medijskih sadržaja. Faktor koji </w:t>
      </w:r>
      <w:r w:rsidR="00E12903" w:rsidRPr="006E09C6">
        <w:rPr>
          <w:rFonts w:ascii="Garamond" w:eastAsia="Times New Roman" w:hAnsi="Garamond" w:cstheme="minorHAnsi"/>
          <w:noProof/>
        </w:rPr>
        <w:t xml:space="preserve">prvenstveno </w:t>
      </w:r>
      <w:r w:rsidRPr="006E09C6">
        <w:rPr>
          <w:rFonts w:ascii="Garamond" w:eastAsia="Times New Roman" w:hAnsi="Garamond" w:cstheme="minorHAnsi"/>
          <w:noProof/>
        </w:rPr>
        <w:t>utič</w:t>
      </w:r>
      <w:r w:rsidR="00E12903" w:rsidRPr="006E09C6">
        <w:rPr>
          <w:rFonts w:ascii="Garamond" w:eastAsia="Times New Roman" w:hAnsi="Garamond" w:cstheme="minorHAnsi"/>
          <w:noProof/>
        </w:rPr>
        <w:t>e</w:t>
      </w:r>
      <w:r w:rsidRPr="006E09C6">
        <w:rPr>
          <w:rFonts w:ascii="Garamond" w:eastAsia="Times New Roman" w:hAnsi="Garamond" w:cstheme="minorHAnsi"/>
          <w:noProof/>
        </w:rPr>
        <w:t xml:space="preserve"> na </w:t>
      </w:r>
      <w:r w:rsidR="00E12903" w:rsidRPr="006E09C6">
        <w:rPr>
          <w:rFonts w:ascii="Garamond" w:eastAsia="Times New Roman" w:hAnsi="Garamond" w:cstheme="minorHAnsi"/>
          <w:noProof/>
        </w:rPr>
        <w:t>učešće u davanjima je poverenje da će ono biti iskorišćeno za svrhe kojima je namenjeno (5</w:t>
      </w:r>
      <w:r w:rsidR="00B93BA5" w:rsidRPr="006E09C6">
        <w:rPr>
          <w:rFonts w:ascii="Garamond" w:eastAsia="Times New Roman" w:hAnsi="Garamond" w:cstheme="minorHAnsi"/>
          <w:noProof/>
        </w:rPr>
        <w:t>7</w:t>
      </w:r>
      <w:r w:rsidR="00E12903" w:rsidRPr="006E09C6">
        <w:rPr>
          <w:rFonts w:ascii="Garamond" w:eastAsia="Times New Roman" w:hAnsi="Garamond" w:cstheme="minorHAnsi"/>
          <w:noProof/>
        </w:rPr>
        <w:t>,</w:t>
      </w:r>
      <w:r w:rsidR="00B93BA5" w:rsidRPr="006E09C6">
        <w:rPr>
          <w:rFonts w:ascii="Garamond" w:eastAsia="Times New Roman" w:hAnsi="Garamond" w:cstheme="minorHAnsi"/>
          <w:noProof/>
        </w:rPr>
        <w:t>6</w:t>
      </w:r>
      <w:r w:rsidR="00E12903" w:rsidRPr="006E09C6">
        <w:rPr>
          <w:rFonts w:ascii="Garamond" w:eastAsia="Times New Roman" w:hAnsi="Garamond" w:cstheme="minorHAnsi"/>
          <w:noProof/>
        </w:rPr>
        <w:t>%). Kao značajan faktor građani navode obaveštenost o rezultatima akcija (vidljivost rezultata i efekata ulaganja) u 4</w:t>
      </w:r>
      <w:r w:rsidR="00B93BA5" w:rsidRPr="006E09C6">
        <w:rPr>
          <w:rFonts w:ascii="Garamond" w:eastAsia="Times New Roman" w:hAnsi="Garamond" w:cstheme="minorHAnsi"/>
          <w:noProof/>
        </w:rPr>
        <w:t>9</w:t>
      </w:r>
      <w:r w:rsidR="00E12903" w:rsidRPr="006E09C6">
        <w:rPr>
          <w:rFonts w:ascii="Garamond" w:eastAsia="Times New Roman" w:hAnsi="Garamond" w:cstheme="minorHAnsi"/>
          <w:noProof/>
        </w:rPr>
        <w:t>,</w:t>
      </w:r>
      <w:r w:rsidR="00B93BA5" w:rsidRPr="006E09C6">
        <w:rPr>
          <w:rFonts w:ascii="Garamond" w:eastAsia="Times New Roman" w:hAnsi="Garamond" w:cstheme="minorHAnsi"/>
          <w:noProof/>
        </w:rPr>
        <w:t>4</w:t>
      </w:r>
      <w:r w:rsidR="00E12903" w:rsidRPr="006E09C6">
        <w:rPr>
          <w:rFonts w:ascii="Garamond" w:eastAsia="Times New Roman" w:hAnsi="Garamond" w:cstheme="minorHAnsi"/>
          <w:noProof/>
        </w:rPr>
        <w:t xml:space="preserve">% odgovora. Ovi podaci mogu da posluže kao preporuka rukovodiocima fonda u smislu pronalaženja načina za obaveštavanje građana i njihovom uključivanju u praćenje rada fonda. </w:t>
      </w:r>
      <w:r w:rsidR="00132231" w:rsidRPr="006E09C6">
        <w:rPr>
          <w:rFonts w:ascii="Garamond" w:eastAsia="Times New Roman" w:hAnsi="Garamond" w:cstheme="minorHAnsi"/>
          <w:noProof/>
        </w:rPr>
        <w:t xml:space="preserve">Trećini ispitanika je za učestvovanje u davanju bitna oblast ili tema u koju se ulaže, dok su adekvatnost pomoći i dobra organizacija od manje važnosti. </w:t>
      </w:r>
    </w:p>
    <w:p w:rsidR="00132231" w:rsidRPr="006E09C6" w:rsidRDefault="00132231" w:rsidP="00953C6F">
      <w:pPr>
        <w:spacing w:after="0"/>
        <w:jc w:val="both"/>
        <w:rPr>
          <w:rFonts w:ascii="Garamond" w:hAnsi="Garamond"/>
          <w:noProof/>
        </w:rPr>
      </w:pPr>
      <w:r w:rsidRPr="006E09C6">
        <w:rPr>
          <w:rFonts w:ascii="Garamond" w:hAnsi="Garamond"/>
          <w:noProof/>
        </w:rPr>
        <w:t>Graf</w:t>
      </w:r>
      <w:r w:rsidR="00093F0B" w:rsidRPr="006E09C6">
        <w:rPr>
          <w:rFonts w:ascii="Garamond" w:hAnsi="Garamond"/>
          <w:noProof/>
        </w:rPr>
        <w:t>i</w:t>
      </w:r>
      <w:r w:rsidRPr="006E09C6">
        <w:rPr>
          <w:rFonts w:ascii="Garamond" w:hAnsi="Garamond"/>
          <w:noProof/>
        </w:rPr>
        <w:t>kon br.1</w:t>
      </w:r>
      <w:r w:rsidR="005C31AC" w:rsidRPr="006E09C6">
        <w:rPr>
          <w:rFonts w:ascii="Garamond" w:hAnsi="Garamond"/>
          <w:noProof/>
        </w:rPr>
        <w:t>2</w:t>
      </w:r>
      <w:r w:rsidRPr="006E09C6">
        <w:rPr>
          <w:rFonts w:ascii="Garamond" w:hAnsi="Garamond"/>
          <w:noProof/>
        </w:rPr>
        <w:t xml:space="preserve"> – Faktori koji dodatno utiču na motivaciju za davanja</w:t>
      </w:r>
    </w:p>
    <w:p w:rsidR="00B13EFD" w:rsidRPr="006E09C6" w:rsidRDefault="00127E62" w:rsidP="00953C6F">
      <w:pPr>
        <w:jc w:val="both"/>
        <w:rPr>
          <w:rFonts w:ascii="Garamond" w:hAnsi="Garamond"/>
          <w:noProof/>
        </w:rPr>
      </w:pPr>
      <w:r w:rsidRPr="006E09C6">
        <w:rPr>
          <w:rFonts w:ascii="Garamond" w:hAnsi="Garamond"/>
          <w:noProof/>
        </w:rPr>
        <w:drawing>
          <wp:inline distT="0" distB="0" distL="0" distR="0">
            <wp:extent cx="5486400" cy="32004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921C1" w:rsidRPr="006E09C6" w:rsidRDefault="000921C1" w:rsidP="00953C6F">
      <w:pPr>
        <w:jc w:val="both"/>
        <w:rPr>
          <w:rFonts w:ascii="Garamond" w:hAnsi="Garamond"/>
          <w:noProof/>
        </w:rPr>
      </w:pPr>
      <w:r w:rsidRPr="006E09C6">
        <w:rPr>
          <w:rFonts w:ascii="Garamond" w:hAnsi="Garamond"/>
          <w:noProof/>
        </w:rPr>
        <w:lastRenderedPageBreak/>
        <w:t>Dominantni razlozi za nizak nivo davanja od strane građana su ekonomske prirode, odnosno nedostatak finansijskih sredstava (7</w:t>
      </w:r>
      <w:r w:rsidR="00D748ED" w:rsidRPr="006E09C6">
        <w:rPr>
          <w:rFonts w:ascii="Garamond" w:hAnsi="Garamond"/>
          <w:noProof/>
        </w:rPr>
        <w:t>6.8</w:t>
      </w:r>
      <w:r w:rsidRPr="006E09C6">
        <w:rPr>
          <w:rFonts w:ascii="Garamond" w:hAnsi="Garamond"/>
          <w:noProof/>
        </w:rPr>
        <w:t xml:space="preserve">%) i </w:t>
      </w:r>
      <w:r w:rsidR="002655D1" w:rsidRPr="006E09C6">
        <w:rPr>
          <w:rFonts w:ascii="Garamond" w:hAnsi="Garamond"/>
          <w:noProof/>
        </w:rPr>
        <w:t xml:space="preserve">visoko </w:t>
      </w:r>
      <w:r w:rsidRPr="006E09C6">
        <w:rPr>
          <w:rFonts w:ascii="Garamond" w:hAnsi="Garamond"/>
          <w:noProof/>
        </w:rPr>
        <w:t>nepoverenje u adekvatno korišćenje prikupljenih sredstava (74,</w:t>
      </w:r>
      <w:r w:rsidR="00D748ED" w:rsidRPr="006E09C6">
        <w:rPr>
          <w:rFonts w:ascii="Garamond" w:hAnsi="Garamond"/>
          <w:noProof/>
        </w:rPr>
        <w:t>9</w:t>
      </w:r>
      <w:r w:rsidRPr="006E09C6">
        <w:rPr>
          <w:rFonts w:ascii="Garamond" w:hAnsi="Garamond"/>
          <w:noProof/>
        </w:rPr>
        <w:t xml:space="preserve">%). </w:t>
      </w:r>
      <w:r w:rsidR="002655D1" w:rsidRPr="006E09C6">
        <w:rPr>
          <w:rFonts w:ascii="Garamond" w:hAnsi="Garamond"/>
          <w:noProof/>
        </w:rPr>
        <w:t xml:space="preserve">U znatno manjoj meri nedostatak benefita za davaoce predstavlja prepreku za davanje, kao i nepostojanje kulture davanja u našem društvu, odnosno nedovoljna obaveštenost i akcijama. </w:t>
      </w:r>
    </w:p>
    <w:p w:rsidR="002655D1" w:rsidRPr="006E09C6" w:rsidRDefault="002655D1" w:rsidP="00953C6F">
      <w:pPr>
        <w:spacing w:after="0"/>
        <w:jc w:val="both"/>
        <w:rPr>
          <w:rFonts w:ascii="Garamond" w:hAnsi="Garamond"/>
          <w:noProof/>
        </w:rPr>
      </w:pPr>
      <w:r w:rsidRPr="006E09C6">
        <w:rPr>
          <w:rFonts w:ascii="Garamond" w:hAnsi="Garamond"/>
          <w:noProof/>
        </w:rPr>
        <w:t>Grafikon br. 1</w:t>
      </w:r>
      <w:r w:rsidR="005C31AC" w:rsidRPr="006E09C6">
        <w:rPr>
          <w:rFonts w:ascii="Garamond" w:hAnsi="Garamond"/>
          <w:noProof/>
        </w:rPr>
        <w:t>3</w:t>
      </w:r>
      <w:r w:rsidRPr="006E09C6">
        <w:rPr>
          <w:rFonts w:ascii="Garamond" w:hAnsi="Garamond"/>
          <w:noProof/>
        </w:rPr>
        <w:t xml:space="preserve"> – Razlozi zašto građani ne izdvajaju sredstva </w:t>
      </w:r>
    </w:p>
    <w:p w:rsidR="000921C1" w:rsidRPr="006E09C6" w:rsidRDefault="000921C1" w:rsidP="00953C6F">
      <w:pPr>
        <w:jc w:val="both"/>
        <w:rPr>
          <w:rFonts w:ascii="Garamond" w:hAnsi="Garamond"/>
          <w:noProof/>
        </w:rPr>
      </w:pPr>
      <w:r w:rsidRPr="006E09C6">
        <w:rPr>
          <w:rFonts w:ascii="Garamond" w:hAnsi="Garamond"/>
          <w:noProof/>
        </w:rPr>
        <w:drawing>
          <wp:inline distT="0" distB="0" distL="0" distR="0">
            <wp:extent cx="5486400" cy="29718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E09C6" w:rsidRDefault="006E09C6">
      <w:pPr>
        <w:rPr>
          <w:rFonts w:ascii="Garamond" w:eastAsia="MS Gothic" w:hAnsi="Garamond" w:cs="Times New Roman"/>
          <w:b/>
          <w:noProof/>
          <w:sz w:val="28"/>
          <w:szCs w:val="28"/>
          <w:lang w:eastAsia="ja-JP"/>
        </w:rPr>
      </w:pPr>
      <w:bookmarkStart w:id="8" w:name="_Toc384118650"/>
      <w:r>
        <w:rPr>
          <w:rFonts w:ascii="Garamond" w:eastAsia="MS Gothic" w:hAnsi="Garamond" w:cs="Times New Roman"/>
          <w:b/>
          <w:noProof/>
          <w:sz w:val="28"/>
          <w:szCs w:val="28"/>
          <w:lang w:eastAsia="ja-JP"/>
        </w:rPr>
        <w:br w:type="page"/>
      </w:r>
    </w:p>
    <w:p w:rsidR="001B30F9" w:rsidRPr="006E09C6" w:rsidRDefault="001B30F9" w:rsidP="00953C6F">
      <w:pPr>
        <w:keepNext/>
        <w:keepLines/>
        <w:pBdr>
          <w:bottom w:val="single" w:sz="8" w:space="0" w:color="FCDBDB"/>
        </w:pBdr>
        <w:spacing w:line="300" w:lineRule="auto"/>
        <w:jc w:val="both"/>
        <w:outlineLvl w:val="0"/>
        <w:rPr>
          <w:rFonts w:ascii="Garamond" w:eastAsia="MS Gothic" w:hAnsi="Garamond" w:cs="Times New Roman"/>
          <w:b/>
          <w:noProof/>
          <w:sz w:val="28"/>
          <w:szCs w:val="28"/>
          <w:lang w:eastAsia="ja-JP"/>
        </w:rPr>
      </w:pPr>
      <w:r w:rsidRPr="006E09C6">
        <w:rPr>
          <w:rFonts w:ascii="Garamond" w:eastAsia="MS Gothic" w:hAnsi="Garamond" w:cs="Times New Roman"/>
          <w:b/>
          <w:noProof/>
          <w:sz w:val="28"/>
          <w:szCs w:val="28"/>
          <w:lang w:eastAsia="ja-JP"/>
        </w:rPr>
        <w:lastRenderedPageBreak/>
        <w:t>Zaključak</w:t>
      </w:r>
      <w:bookmarkEnd w:id="8"/>
    </w:p>
    <w:p w:rsidR="001B30F9" w:rsidRPr="006E09C6" w:rsidRDefault="001B30F9" w:rsidP="00953C6F">
      <w:pPr>
        <w:jc w:val="both"/>
        <w:rPr>
          <w:rFonts w:ascii="Garamond" w:hAnsi="Garamond"/>
          <w:noProof/>
        </w:rPr>
      </w:pPr>
    </w:p>
    <w:p w:rsidR="001B30F9" w:rsidRPr="006E09C6" w:rsidRDefault="001B30F9" w:rsidP="00953C6F">
      <w:pPr>
        <w:jc w:val="both"/>
        <w:rPr>
          <w:rFonts w:ascii="Garamond" w:hAnsi="Garamond"/>
          <w:noProof/>
        </w:rPr>
      </w:pPr>
      <w:r w:rsidRPr="006E09C6">
        <w:rPr>
          <w:rFonts w:ascii="Garamond" w:hAnsi="Garamond"/>
          <w:noProof/>
        </w:rPr>
        <w:t xml:space="preserve">Istraživanje stavova građana o nezavisnom multidonorskom fondu koji bi prestavljao podršku radu medija u Srbiji pokazuje da se takav fond ocenjuje kao potreban, odnosno da medijima u Srbiji treba podrška za rad. </w:t>
      </w:r>
    </w:p>
    <w:p w:rsidR="001B30F9" w:rsidRPr="006E09C6" w:rsidRDefault="001B30F9" w:rsidP="00953C6F">
      <w:pPr>
        <w:jc w:val="both"/>
        <w:rPr>
          <w:rFonts w:ascii="Garamond" w:hAnsi="Garamond"/>
          <w:noProof/>
        </w:rPr>
      </w:pPr>
      <w:r w:rsidRPr="006E09C6">
        <w:rPr>
          <w:rFonts w:ascii="Garamond" w:hAnsi="Garamond"/>
          <w:noProof/>
        </w:rPr>
        <w:t>U cilju razvoja medija i njihovog kvalitetnijeg rada kao neophodno se navodi:</w:t>
      </w:r>
    </w:p>
    <w:p w:rsidR="001B30F9" w:rsidRPr="006E09C6" w:rsidRDefault="001B30F9" w:rsidP="00953C6F">
      <w:pPr>
        <w:pStyle w:val="ListParagraph"/>
        <w:numPr>
          <w:ilvl w:val="0"/>
          <w:numId w:val="1"/>
        </w:numPr>
        <w:spacing w:before="240"/>
        <w:jc w:val="both"/>
        <w:rPr>
          <w:rFonts w:ascii="Garamond" w:hAnsi="Garamond"/>
          <w:noProof/>
        </w:rPr>
      </w:pPr>
      <w:r w:rsidRPr="006E09C6">
        <w:rPr>
          <w:rFonts w:ascii="Garamond" w:hAnsi="Garamond"/>
          <w:noProof/>
        </w:rPr>
        <w:t>Podizanje svesti građana o zna</w:t>
      </w:r>
      <w:r w:rsidR="00F05FC8" w:rsidRPr="006E09C6">
        <w:rPr>
          <w:rFonts w:ascii="Garamond" w:hAnsi="Garamond"/>
          <w:noProof/>
        </w:rPr>
        <w:t>čaju medija za građane i značaju adekvatno informisanih građana za društvo</w:t>
      </w:r>
    </w:p>
    <w:p w:rsidR="00F05FC8" w:rsidRPr="006E09C6" w:rsidRDefault="00F05FC8" w:rsidP="00953C6F">
      <w:pPr>
        <w:pStyle w:val="ListParagraph"/>
        <w:numPr>
          <w:ilvl w:val="0"/>
          <w:numId w:val="1"/>
        </w:numPr>
        <w:spacing w:before="240"/>
        <w:jc w:val="both"/>
        <w:rPr>
          <w:rFonts w:ascii="Garamond" w:hAnsi="Garamond"/>
          <w:noProof/>
        </w:rPr>
      </w:pPr>
      <w:r w:rsidRPr="006E09C6">
        <w:rPr>
          <w:rFonts w:ascii="Garamond" w:hAnsi="Garamond"/>
          <w:noProof/>
        </w:rPr>
        <w:t>Informisati građane o medijskom fondu – o njegovoj strukturi, organizaciji, načinu rada i upravljanja</w:t>
      </w:r>
    </w:p>
    <w:p w:rsidR="00F05FC8" w:rsidRPr="006E09C6" w:rsidRDefault="00F05FC8" w:rsidP="00953C6F">
      <w:pPr>
        <w:pStyle w:val="ListParagraph"/>
        <w:numPr>
          <w:ilvl w:val="0"/>
          <w:numId w:val="1"/>
        </w:numPr>
        <w:spacing w:before="240"/>
        <w:jc w:val="both"/>
        <w:rPr>
          <w:rFonts w:ascii="Garamond" w:hAnsi="Garamond"/>
          <w:noProof/>
        </w:rPr>
      </w:pPr>
      <w:r w:rsidRPr="006E09C6">
        <w:rPr>
          <w:rFonts w:ascii="Garamond" w:hAnsi="Garamond"/>
          <w:noProof/>
        </w:rPr>
        <w:t>Obezbediti transparentnost rada medijskog fonda u pogledu visine i strukture ulaganja (ko i koliko daje), troškovima (za rad fonda, investicije, raspodela davanja), monitoringu i kontroli rada, efektima podrške medijima, period</w:t>
      </w:r>
      <w:r w:rsidR="007C4DCF" w:rsidRPr="006E09C6">
        <w:rPr>
          <w:rFonts w:ascii="Garamond" w:hAnsi="Garamond"/>
          <w:noProof/>
        </w:rPr>
        <w:t>i</w:t>
      </w:r>
      <w:r w:rsidRPr="006E09C6">
        <w:rPr>
          <w:rFonts w:ascii="Garamond" w:hAnsi="Garamond"/>
          <w:noProof/>
        </w:rPr>
        <w:t>čnim ili godišnjim evaluacijima.</w:t>
      </w:r>
    </w:p>
    <w:p w:rsidR="007C4DCF" w:rsidRPr="006E09C6" w:rsidRDefault="007C4DCF" w:rsidP="00953C6F">
      <w:pPr>
        <w:pStyle w:val="ListParagraph"/>
        <w:numPr>
          <w:ilvl w:val="0"/>
          <w:numId w:val="1"/>
        </w:numPr>
        <w:spacing w:before="240"/>
        <w:jc w:val="both"/>
        <w:rPr>
          <w:rFonts w:ascii="Garamond" w:hAnsi="Garamond"/>
          <w:noProof/>
        </w:rPr>
      </w:pPr>
      <w:r w:rsidRPr="006E09C6">
        <w:rPr>
          <w:rFonts w:ascii="Garamond" w:eastAsia="Times New Roman" w:hAnsi="Garamond" w:cstheme="minorHAnsi"/>
          <w:noProof/>
        </w:rPr>
        <w:t>Pronalaženje načina za obaveštavanje građana i njihovo uključivanje u praćenje rada fonda jer pored lošeg materijalnog stanja građana nepoverenje u namensko trošenje prikuljenih sredstava vidi kao glavni uzrok za niska dobrotvorna davanja u Srbiji</w:t>
      </w:r>
    </w:p>
    <w:p w:rsidR="00F05FC8" w:rsidRPr="006E09C6" w:rsidRDefault="00F05FC8" w:rsidP="00953C6F">
      <w:pPr>
        <w:pStyle w:val="ListParagraph"/>
        <w:numPr>
          <w:ilvl w:val="0"/>
          <w:numId w:val="1"/>
        </w:numPr>
        <w:spacing w:before="240"/>
        <w:jc w:val="both"/>
        <w:rPr>
          <w:rFonts w:ascii="Garamond" w:hAnsi="Garamond"/>
          <w:noProof/>
        </w:rPr>
      </w:pPr>
      <w:r w:rsidRPr="006E09C6">
        <w:rPr>
          <w:rFonts w:ascii="Garamond" w:hAnsi="Garamond"/>
          <w:noProof/>
        </w:rPr>
        <w:t>Obezbediti jasne i jednostavne mehanizme za davanje od strane građana i/ili privatnih kompanija</w:t>
      </w:r>
    </w:p>
    <w:p w:rsidR="00F05FC8" w:rsidRPr="006E09C6" w:rsidRDefault="00F05FC8" w:rsidP="00953C6F">
      <w:pPr>
        <w:pStyle w:val="ListParagraph"/>
        <w:numPr>
          <w:ilvl w:val="0"/>
          <w:numId w:val="1"/>
        </w:numPr>
        <w:spacing w:before="240"/>
        <w:jc w:val="both"/>
        <w:rPr>
          <w:rFonts w:ascii="Garamond" w:hAnsi="Garamond"/>
          <w:noProof/>
        </w:rPr>
      </w:pPr>
      <w:r w:rsidRPr="006E09C6">
        <w:rPr>
          <w:rFonts w:ascii="Garamond" w:hAnsi="Garamond"/>
          <w:noProof/>
        </w:rPr>
        <w:t>Usmeriti aktivnosti fonda u razvoj prvenstveno lokalnih medija</w:t>
      </w:r>
      <w:r w:rsidR="007C4DCF" w:rsidRPr="006E09C6">
        <w:rPr>
          <w:rFonts w:ascii="Garamond" w:hAnsi="Garamond"/>
          <w:noProof/>
        </w:rPr>
        <w:t xml:space="preserve"> i razvoju sadržaja namenjenih lokalnoj publici</w:t>
      </w:r>
    </w:p>
    <w:p w:rsidR="00F05FC8" w:rsidRPr="006E09C6" w:rsidRDefault="00F05FC8" w:rsidP="00953C6F">
      <w:pPr>
        <w:pStyle w:val="ListParagraph"/>
        <w:numPr>
          <w:ilvl w:val="0"/>
          <w:numId w:val="1"/>
        </w:numPr>
        <w:spacing w:before="240"/>
        <w:jc w:val="both"/>
        <w:rPr>
          <w:rFonts w:ascii="Garamond" w:hAnsi="Garamond"/>
          <w:noProof/>
        </w:rPr>
      </w:pPr>
      <w:r w:rsidRPr="006E09C6">
        <w:rPr>
          <w:rFonts w:ascii="Garamond" w:hAnsi="Garamond"/>
          <w:noProof/>
        </w:rPr>
        <w:t xml:space="preserve">Usmeriti podršku medijima ka </w:t>
      </w:r>
      <w:r w:rsidR="007C4DCF" w:rsidRPr="006E09C6">
        <w:rPr>
          <w:rFonts w:ascii="Garamond" w:hAnsi="Garamond"/>
          <w:noProof/>
        </w:rPr>
        <w:t xml:space="preserve">razvoju </w:t>
      </w:r>
      <w:r w:rsidR="006229AC" w:rsidRPr="006E09C6">
        <w:rPr>
          <w:rFonts w:ascii="Garamond" w:hAnsi="Garamond"/>
          <w:noProof/>
        </w:rPr>
        <w:t>edukativnih sadržaja, sadržaja iz oblasti kulture i umetnosti, nauke i tehnologije, biznisa i poslovanja i kvalitetnog dečijeg i zabavnog programa.</w:t>
      </w:r>
    </w:p>
    <w:p w:rsidR="006229AC" w:rsidRPr="006E09C6" w:rsidRDefault="006229AC" w:rsidP="00953C6F">
      <w:pPr>
        <w:pStyle w:val="ListParagraph"/>
        <w:numPr>
          <w:ilvl w:val="0"/>
          <w:numId w:val="1"/>
        </w:numPr>
        <w:spacing w:before="240"/>
        <w:jc w:val="both"/>
        <w:rPr>
          <w:rFonts w:ascii="Garamond" w:hAnsi="Garamond"/>
          <w:noProof/>
        </w:rPr>
      </w:pPr>
      <w:r w:rsidRPr="006E09C6">
        <w:rPr>
          <w:rFonts w:ascii="Garamond" w:hAnsi="Garamond"/>
          <w:noProof/>
        </w:rPr>
        <w:t>Prioritetne oblasti za pomoć medijima su unaprešenje njihove nezavisnosti u kreiranju programa, unapređenje tehničkih resursa, on-line sadržaja i jačanje kapaciteta postojećih kadrova.</w:t>
      </w:r>
    </w:p>
    <w:p w:rsidR="007B3E8C" w:rsidRPr="006E09C6" w:rsidRDefault="007B3E8C" w:rsidP="006E09C6">
      <w:pPr>
        <w:tabs>
          <w:tab w:val="left" w:pos="3309"/>
        </w:tabs>
        <w:jc w:val="both"/>
        <w:rPr>
          <w:rFonts w:ascii="Garamond" w:hAnsi="Garamond"/>
          <w:noProof/>
        </w:rPr>
      </w:pPr>
    </w:p>
    <w:sectPr w:rsidR="007B3E8C" w:rsidRPr="006E09C6" w:rsidSect="00FD52DE">
      <w:footerReference w:type="default" r:id="rId22"/>
      <w:pgSz w:w="11909" w:h="16834" w:code="9"/>
      <w:pgMar w:top="144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E30" w:rsidRDefault="00782E30" w:rsidP="00D35BB3">
      <w:pPr>
        <w:spacing w:after="0" w:line="240" w:lineRule="auto"/>
      </w:pPr>
      <w:r>
        <w:separator/>
      </w:r>
    </w:p>
  </w:endnote>
  <w:endnote w:type="continuationSeparator" w:id="1">
    <w:p w:rsidR="00782E30" w:rsidRDefault="00782E30" w:rsidP="00D35B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07925"/>
      <w:docPartObj>
        <w:docPartGallery w:val="Page Numbers (Bottom of Page)"/>
        <w:docPartUnique/>
      </w:docPartObj>
    </w:sdtPr>
    <w:sdtContent>
      <w:p w:rsidR="007427CD" w:rsidRDefault="004647A9">
        <w:pPr>
          <w:pStyle w:val="Footer"/>
          <w:jc w:val="right"/>
        </w:pPr>
        <w:fldSimple w:instr=" PAGE   \* MERGEFORMAT ">
          <w:r w:rsidR="006E09C6">
            <w:rPr>
              <w:noProof/>
            </w:rPr>
            <w:t>13</w:t>
          </w:r>
        </w:fldSimple>
      </w:p>
    </w:sdtContent>
  </w:sdt>
  <w:p w:rsidR="007427CD" w:rsidRDefault="00742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E30" w:rsidRDefault="00782E30" w:rsidP="00D35BB3">
      <w:pPr>
        <w:spacing w:after="0" w:line="240" w:lineRule="auto"/>
      </w:pPr>
      <w:r>
        <w:separator/>
      </w:r>
    </w:p>
  </w:footnote>
  <w:footnote w:type="continuationSeparator" w:id="1">
    <w:p w:rsidR="00782E30" w:rsidRDefault="00782E30" w:rsidP="00D35B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308D2"/>
    <w:multiLevelType w:val="hybridMultilevel"/>
    <w:tmpl w:val="48A2C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156D88"/>
    <w:multiLevelType w:val="hybridMultilevel"/>
    <w:tmpl w:val="E332BA94"/>
    <w:lvl w:ilvl="0" w:tplc="8BF498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1986"/>
  </w:hdrShapeDefaults>
  <w:footnotePr>
    <w:footnote w:id="0"/>
    <w:footnote w:id="1"/>
  </w:footnotePr>
  <w:endnotePr>
    <w:endnote w:id="0"/>
    <w:endnote w:id="1"/>
  </w:endnotePr>
  <w:compat/>
  <w:rsids>
    <w:rsidRoot w:val="00FF0078"/>
    <w:rsid w:val="000206C4"/>
    <w:rsid w:val="000254AF"/>
    <w:rsid w:val="0003485E"/>
    <w:rsid w:val="00073FB3"/>
    <w:rsid w:val="000921C1"/>
    <w:rsid w:val="00093F0B"/>
    <w:rsid w:val="000C044A"/>
    <w:rsid w:val="000C3DFF"/>
    <w:rsid w:val="000E1686"/>
    <w:rsid w:val="000E4F8A"/>
    <w:rsid w:val="000E6BB6"/>
    <w:rsid w:val="000F198E"/>
    <w:rsid w:val="001223BB"/>
    <w:rsid w:val="00123056"/>
    <w:rsid w:val="0012515A"/>
    <w:rsid w:val="00127E62"/>
    <w:rsid w:val="00132231"/>
    <w:rsid w:val="001407F2"/>
    <w:rsid w:val="001700AD"/>
    <w:rsid w:val="00175B2E"/>
    <w:rsid w:val="00194D59"/>
    <w:rsid w:val="001B30F9"/>
    <w:rsid w:val="001C148F"/>
    <w:rsid w:val="001C2E47"/>
    <w:rsid w:val="001D7D4D"/>
    <w:rsid w:val="001F223D"/>
    <w:rsid w:val="001F52DB"/>
    <w:rsid w:val="00204195"/>
    <w:rsid w:val="00216550"/>
    <w:rsid w:val="00216E6F"/>
    <w:rsid w:val="00225894"/>
    <w:rsid w:val="00251A29"/>
    <w:rsid w:val="002655D1"/>
    <w:rsid w:val="002A2716"/>
    <w:rsid w:val="002C1129"/>
    <w:rsid w:val="002D0719"/>
    <w:rsid w:val="003422A6"/>
    <w:rsid w:val="00343D86"/>
    <w:rsid w:val="00346253"/>
    <w:rsid w:val="003469C9"/>
    <w:rsid w:val="003647E2"/>
    <w:rsid w:val="00397D57"/>
    <w:rsid w:val="003D41CB"/>
    <w:rsid w:val="003E0E37"/>
    <w:rsid w:val="003F6E96"/>
    <w:rsid w:val="00423E39"/>
    <w:rsid w:val="004503F5"/>
    <w:rsid w:val="004647A9"/>
    <w:rsid w:val="004807CC"/>
    <w:rsid w:val="004B7C57"/>
    <w:rsid w:val="004C1FA7"/>
    <w:rsid w:val="004C33AA"/>
    <w:rsid w:val="004D3B9E"/>
    <w:rsid w:val="004D6063"/>
    <w:rsid w:val="00512EDD"/>
    <w:rsid w:val="00523079"/>
    <w:rsid w:val="00541C71"/>
    <w:rsid w:val="00571510"/>
    <w:rsid w:val="005725E3"/>
    <w:rsid w:val="005952ED"/>
    <w:rsid w:val="005A0D5F"/>
    <w:rsid w:val="005B18B4"/>
    <w:rsid w:val="005B2BC9"/>
    <w:rsid w:val="005B7FE4"/>
    <w:rsid w:val="005C31AC"/>
    <w:rsid w:val="005F46CC"/>
    <w:rsid w:val="0060510A"/>
    <w:rsid w:val="00620773"/>
    <w:rsid w:val="00620A92"/>
    <w:rsid w:val="006229AC"/>
    <w:rsid w:val="00662F05"/>
    <w:rsid w:val="006A70C7"/>
    <w:rsid w:val="006E09C6"/>
    <w:rsid w:val="007026C4"/>
    <w:rsid w:val="00732AA0"/>
    <w:rsid w:val="007361FF"/>
    <w:rsid w:val="007427CD"/>
    <w:rsid w:val="00744747"/>
    <w:rsid w:val="00771AEE"/>
    <w:rsid w:val="007731CE"/>
    <w:rsid w:val="00782E30"/>
    <w:rsid w:val="007844B9"/>
    <w:rsid w:val="007B3E8C"/>
    <w:rsid w:val="007C4DCF"/>
    <w:rsid w:val="007D6468"/>
    <w:rsid w:val="007D6552"/>
    <w:rsid w:val="007F0A7A"/>
    <w:rsid w:val="008212BE"/>
    <w:rsid w:val="00852C57"/>
    <w:rsid w:val="00866312"/>
    <w:rsid w:val="00867840"/>
    <w:rsid w:val="00870F32"/>
    <w:rsid w:val="008974BB"/>
    <w:rsid w:val="008A3E95"/>
    <w:rsid w:val="008A40BB"/>
    <w:rsid w:val="008B1126"/>
    <w:rsid w:val="008B54E7"/>
    <w:rsid w:val="008D6E9C"/>
    <w:rsid w:val="008D7CA3"/>
    <w:rsid w:val="008F6A1A"/>
    <w:rsid w:val="00907CC1"/>
    <w:rsid w:val="00914B76"/>
    <w:rsid w:val="00920CC9"/>
    <w:rsid w:val="00953C6F"/>
    <w:rsid w:val="00954841"/>
    <w:rsid w:val="009556C4"/>
    <w:rsid w:val="009B0EF6"/>
    <w:rsid w:val="009C37B9"/>
    <w:rsid w:val="009D3F5A"/>
    <w:rsid w:val="009F4ECC"/>
    <w:rsid w:val="00A21F22"/>
    <w:rsid w:val="00A25295"/>
    <w:rsid w:val="00A44FA7"/>
    <w:rsid w:val="00A45DE7"/>
    <w:rsid w:val="00A4697E"/>
    <w:rsid w:val="00A60167"/>
    <w:rsid w:val="00A70608"/>
    <w:rsid w:val="00A70846"/>
    <w:rsid w:val="00A872B2"/>
    <w:rsid w:val="00A91C22"/>
    <w:rsid w:val="00A97991"/>
    <w:rsid w:val="00AA6E46"/>
    <w:rsid w:val="00AC59EA"/>
    <w:rsid w:val="00AD2D9D"/>
    <w:rsid w:val="00AD2F27"/>
    <w:rsid w:val="00B01439"/>
    <w:rsid w:val="00B047BD"/>
    <w:rsid w:val="00B13B38"/>
    <w:rsid w:val="00B13EFD"/>
    <w:rsid w:val="00B50648"/>
    <w:rsid w:val="00B528BA"/>
    <w:rsid w:val="00B67F98"/>
    <w:rsid w:val="00B7399C"/>
    <w:rsid w:val="00B76303"/>
    <w:rsid w:val="00B83FD5"/>
    <w:rsid w:val="00B93BA5"/>
    <w:rsid w:val="00BD63D0"/>
    <w:rsid w:val="00BE260F"/>
    <w:rsid w:val="00BE7B9C"/>
    <w:rsid w:val="00BF3823"/>
    <w:rsid w:val="00C20DFE"/>
    <w:rsid w:val="00C27FFC"/>
    <w:rsid w:val="00C4325C"/>
    <w:rsid w:val="00C44BA2"/>
    <w:rsid w:val="00C460DD"/>
    <w:rsid w:val="00C47D7A"/>
    <w:rsid w:val="00C51477"/>
    <w:rsid w:val="00C64319"/>
    <w:rsid w:val="00C9014E"/>
    <w:rsid w:val="00CD0ACA"/>
    <w:rsid w:val="00CD2AF9"/>
    <w:rsid w:val="00D35BB3"/>
    <w:rsid w:val="00D46456"/>
    <w:rsid w:val="00D70EA3"/>
    <w:rsid w:val="00D738E3"/>
    <w:rsid w:val="00D748ED"/>
    <w:rsid w:val="00DA3229"/>
    <w:rsid w:val="00DA3B71"/>
    <w:rsid w:val="00DC37C9"/>
    <w:rsid w:val="00DC6395"/>
    <w:rsid w:val="00DC7CAA"/>
    <w:rsid w:val="00DE74B5"/>
    <w:rsid w:val="00E12903"/>
    <w:rsid w:val="00E65335"/>
    <w:rsid w:val="00EB3FDB"/>
    <w:rsid w:val="00ED56B0"/>
    <w:rsid w:val="00F00553"/>
    <w:rsid w:val="00F051F3"/>
    <w:rsid w:val="00F05FC8"/>
    <w:rsid w:val="00F16487"/>
    <w:rsid w:val="00F233C9"/>
    <w:rsid w:val="00F34712"/>
    <w:rsid w:val="00F83479"/>
    <w:rsid w:val="00F86264"/>
    <w:rsid w:val="00FB2C43"/>
    <w:rsid w:val="00FD52DE"/>
    <w:rsid w:val="00FE1522"/>
    <w:rsid w:val="00FF0078"/>
    <w:rsid w:val="00FF5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0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79"/>
    <w:rPr>
      <w:rFonts w:ascii="Tahoma" w:hAnsi="Tahoma" w:cs="Tahoma"/>
      <w:sz w:val="16"/>
      <w:szCs w:val="16"/>
    </w:rPr>
  </w:style>
  <w:style w:type="paragraph" w:styleId="Header">
    <w:name w:val="header"/>
    <w:basedOn w:val="Normal"/>
    <w:link w:val="HeaderChar"/>
    <w:uiPriority w:val="99"/>
    <w:semiHidden/>
    <w:unhideWhenUsed/>
    <w:rsid w:val="00D35B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5BB3"/>
  </w:style>
  <w:style w:type="paragraph" w:styleId="Footer">
    <w:name w:val="footer"/>
    <w:basedOn w:val="Normal"/>
    <w:link w:val="FooterChar"/>
    <w:uiPriority w:val="99"/>
    <w:unhideWhenUsed/>
    <w:rsid w:val="00D35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BB3"/>
  </w:style>
  <w:style w:type="paragraph" w:customStyle="1" w:styleId="ContactInfo">
    <w:name w:val="Contact Info"/>
    <w:basedOn w:val="NoSpacing"/>
    <w:uiPriority w:val="5"/>
    <w:qFormat/>
    <w:rsid w:val="00D35BB3"/>
    <w:rPr>
      <w:rFonts w:eastAsiaTheme="minorEastAsia"/>
      <w:color w:val="FFFFFF" w:themeColor="background1"/>
      <w:lang w:eastAsia="ja-JP"/>
    </w:rPr>
  </w:style>
  <w:style w:type="paragraph" w:styleId="NoSpacing">
    <w:name w:val="No Spacing"/>
    <w:uiPriority w:val="1"/>
    <w:qFormat/>
    <w:rsid w:val="00D35BB3"/>
    <w:pPr>
      <w:spacing w:after="0" w:line="240" w:lineRule="auto"/>
    </w:pPr>
  </w:style>
  <w:style w:type="character" w:styleId="IntenseReference">
    <w:name w:val="Intense Reference"/>
    <w:basedOn w:val="DefaultParagraphFont"/>
    <w:uiPriority w:val="32"/>
    <w:qFormat/>
    <w:rsid w:val="00D35BB3"/>
    <w:rPr>
      <w:b/>
      <w:bCs/>
      <w:smallCaps/>
      <w:color w:val="C0504D" w:themeColor="accent2"/>
      <w:spacing w:val="5"/>
      <w:u w:val="single"/>
    </w:rPr>
  </w:style>
  <w:style w:type="table" w:customStyle="1" w:styleId="MediumShading2-Accent11">
    <w:name w:val="Medium Shading 2 - Accent 11"/>
    <w:basedOn w:val="TableNormal"/>
    <w:uiPriority w:val="64"/>
    <w:rsid w:val="006A70C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6A70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A40BB"/>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1D7D4D"/>
    <w:pPr>
      <w:spacing w:after="100"/>
    </w:pPr>
  </w:style>
  <w:style w:type="character" w:styleId="Hyperlink">
    <w:name w:val="Hyperlink"/>
    <w:basedOn w:val="DefaultParagraphFont"/>
    <w:uiPriority w:val="99"/>
    <w:unhideWhenUsed/>
    <w:rsid w:val="001D7D4D"/>
    <w:rPr>
      <w:color w:val="0000FF" w:themeColor="hyperlink"/>
      <w:u w:val="single"/>
    </w:rPr>
  </w:style>
  <w:style w:type="paragraph" w:styleId="ListParagraph">
    <w:name w:val="List Paragraph"/>
    <w:basedOn w:val="Normal"/>
    <w:uiPriority w:val="34"/>
    <w:qFormat/>
    <w:rsid w:val="001B30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barChart>
        <c:barDir val="bar"/>
        <c:grouping val="clustered"/>
        <c:ser>
          <c:idx val="0"/>
          <c:order val="0"/>
          <c:tx>
            <c:strRef>
              <c:f>Sheet1!$B$1</c:f>
              <c:strCache>
                <c:ptCount val="1"/>
                <c:pt idx="0">
                  <c:v>Musko</c:v>
                </c:pt>
              </c:strCache>
            </c:strRef>
          </c:tx>
          <c:dLbls>
            <c:showVal val="1"/>
          </c:dLbls>
          <c:cat>
            <c:strRef>
              <c:f>Sheet1!$A$2:$A$5</c:f>
              <c:strCache>
                <c:ptCount val="4"/>
                <c:pt idx="0">
                  <c:v>18-25</c:v>
                </c:pt>
                <c:pt idx="1">
                  <c:v>26-35</c:v>
                </c:pt>
                <c:pt idx="2">
                  <c:v>36-50</c:v>
                </c:pt>
                <c:pt idx="3">
                  <c:v>50+</c:v>
                </c:pt>
              </c:strCache>
            </c:strRef>
          </c:cat>
          <c:val>
            <c:numRef>
              <c:f>Sheet1!$B$2:$B$5</c:f>
              <c:numCache>
                <c:formatCode>General</c:formatCode>
                <c:ptCount val="4"/>
                <c:pt idx="0">
                  <c:v>46.2</c:v>
                </c:pt>
                <c:pt idx="1">
                  <c:v>37.300000000000004</c:v>
                </c:pt>
                <c:pt idx="2">
                  <c:v>35.9</c:v>
                </c:pt>
                <c:pt idx="3">
                  <c:v>49.2</c:v>
                </c:pt>
              </c:numCache>
            </c:numRef>
          </c:val>
        </c:ser>
        <c:ser>
          <c:idx val="1"/>
          <c:order val="1"/>
          <c:tx>
            <c:strRef>
              <c:f>Sheet1!$C$1</c:f>
              <c:strCache>
                <c:ptCount val="1"/>
                <c:pt idx="0">
                  <c:v>Zensko </c:v>
                </c:pt>
              </c:strCache>
            </c:strRef>
          </c:tx>
          <c:dLbls>
            <c:showVal val="1"/>
          </c:dLbls>
          <c:cat>
            <c:strRef>
              <c:f>Sheet1!$A$2:$A$5</c:f>
              <c:strCache>
                <c:ptCount val="4"/>
                <c:pt idx="0">
                  <c:v>18-25</c:v>
                </c:pt>
                <c:pt idx="1">
                  <c:v>26-35</c:v>
                </c:pt>
                <c:pt idx="2">
                  <c:v>36-50</c:v>
                </c:pt>
                <c:pt idx="3">
                  <c:v>50+</c:v>
                </c:pt>
              </c:strCache>
            </c:strRef>
          </c:cat>
          <c:val>
            <c:numRef>
              <c:f>Sheet1!$C$2:$C$5</c:f>
              <c:numCache>
                <c:formatCode>General</c:formatCode>
                <c:ptCount val="4"/>
                <c:pt idx="0">
                  <c:v>53.8</c:v>
                </c:pt>
                <c:pt idx="1">
                  <c:v>62.7</c:v>
                </c:pt>
                <c:pt idx="2">
                  <c:v>64.099999999999994</c:v>
                </c:pt>
                <c:pt idx="3">
                  <c:v>50.8</c:v>
                </c:pt>
              </c:numCache>
            </c:numRef>
          </c:val>
        </c:ser>
        <c:axId val="90194304"/>
        <c:axId val="99010816"/>
      </c:barChart>
      <c:catAx>
        <c:axId val="90194304"/>
        <c:scaling>
          <c:orientation val="minMax"/>
        </c:scaling>
        <c:axPos val="l"/>
        <c:tickLblPos val="nextTo"/>
        <c:crossAx val="99010816"/>
        <c:crosses val="autoZero"/>
        <c:auto val="1"/>
        <c:lblAlgn val="ctr"/>
        <c:lblOffset val="70"/>
      </c:catAx>
      <c:valAx>
        <c:axId val="99010816"/>
        <c:scaling>
          <c:orientation val="minMax"/>
        </c:scaling>
        <c:axPos val="b"/>
        <c:majorGridlines/>
        <c:numFmt formatCode="General" sourceLinked="1"/>
        <c:tickLblPos val="nextTo"/>
        <c:crossAx val="9019430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31"/>
  <c:chart>
    <c:autoTitleDeleted val="1"/>
    <c:plotArea>
      <c:layout>
        <c:manualLayout>
          <c:layoutTarget val="inner"/>
          <c:xMode val="edge"/>
          <c:yMode val="edge"/>
          <c:x val="8.0470071449402172E-2"/>
          <c:y val="0.14052850189842794"/>
          <c:w val="0.83577343154686479"/>
          <c:h val="0.44038631093443525"/>
        </c:manualLayout>
      </c:layout>
      <c:barChart>
        <c:barDir val="col"/>
        <c:grouping val="clustered"/>
        <c:ser>
          <c:idx val="0"/>
          <c:order val="0"/>
          <c:tx>
            <c:strRef>
              <c:f>Sheet1!$B$1</c:f>
              <c:strCache>
                <c:ptCount val="1"/>
                <c:pt idx="0">
                  <c:v>Za razvoj kojih vrsta programa biste izdvajali sredstva?</c:v>
                </c:pt>
              </c:strCache>
            </c:strRef>
          </c:tx>
          <c:dLbls>
            <c:showVal val="1"/>
          </c:dLbls>
          <c:cat>
            <c:strRef>
              <c:f>Sheet1!$A$2:$A$12</c:f>
              <c:strCache>
                <c:ptCount val="11"/>
                <c:pt idx="0">
                  <c:v>Informativnih</c:v>
                </c:pt>
                <c:pt idx="1">
                  <c:v>Obrazovnih</c:v>
                </c:pt>
                <c:pt idx="2">
                  <c:v>Iz kulture</c:v>
                </c:pt>
                <c:pt idx="3">
                  <c:v>Zabavnih</c:v>
                </c:pt>
                <c:pt idx="4">
                  <c:v>Istrazivacko novinarstvo</c:v>
                </c:pt>
                <c:pt idx="5">
                  <c:v>Tematske emisije</c:v>
                </c:pt>
                <c:pt idx="6">
                  <c:v>Autorske emisije</c:v>
                </c:pt>
                <c:pt idx="7">
                  <c:v>Sportskih</c:v>
                </c:pt>
                <c:pt idx="8">
                  <c:v>Decijih i skolskih programa</c:v>
                </c:pt>
                <c:pt idx="9">
                  <c:v>Poljoprivreda</c:v>
                </c:pt>
                <c:pt idx="10">
                  <c:v>IT sektor</c:v>
                </c:pt>
              </c:strCache>
            </c:strRef>
          </c:cat>
          <c:val>
            <c:numRef>
              <c:f>Sheet1!$B$2:$B$12</c:f>
              <c:numCache>
                <c:formatCode>0.00%</c:formatCode>
                <c:ptCount val="11"/>
                <c:pt idx="0">
                  <c:v>0.39500000000000024</c:v>
                </c:pt>
                <c:pt idx="1">
                  <c:v>0.75700000000000034</c:v>
                </c:pt>
                <c:pt idx="2">
                  <c:v>0.53100000000000003</c:v>
                </c:pt>
                <c:pt idx="3">
                  <c:v>0.25800000000000001</c:v>
                </c:pt>
                <c:pt idx="4">
                  <c:v>0.43300000000000016</c:v>
                </c:pt>
                <c:pt idx="5">
                  <c:v>0.23600000000000004</c:v>
                </c:pt>
                <c:pt idx="6">
                  <c:v>0.15200000000000008</c:v>
                </c:pt>
                <c:pt idx="7">
                  <c:v>1.7000000000000001E-2</c:v>
                </c:pt>
                <c:pt idx="8">
                  <c:v>9.0000000000000028E-3</c:v>
                </c:pt>
                <c:pt idx="9">
                  <c:v>3.0000000000000014E-3</c:v>
                </c:pt>
                <c:pt idx="10">
                  <c:v>4.0000000000000027E-3</c:v>
                </c:pt>
              </c:numCache>
            </c:numRef>
          </c:val>
        </c:ser>
        <c:axId val="156550656"/>
        <c:axId val="156552192"/>
      </c:barChart>
      <c:catAx>
        <c:axId val="156550656"/>
        <c:scaling>
          <c:orientation val="minMax"/>
        </c:scaling>
        <c:axPos val="b"/>
        <c:tickLblPos val="nextTo"/>
        <c:crossAx val="156552192"/>
        <c:crosses val="autoZero"/>
        <c:auto val="1"/>
        <c:lblAlgn val="ctr"/>
        <c:lblOffset val="100"/>
      </c:catAx>
      <c:valAx>
        <c:axId val="156552192"/>
        <c:scaling>
          <c:orientation val="minMax"/>
        </c:scaling>
        <c:axPos val="l"/>
        <c:majorGridlines/>
        <c:numFmt formatCode="General" sourceLinked="0"/>
        <c:tickLblPos val="nextTo"/>
        <c:crossAx val="156550656"/>
        <c:crosses val="autoZero"/>
        <c:crossBetween val="between"/>
      </c:valAx>
    </c:plotArea>
    <c:legend>
      <c:legendPos val="r"/>
      <c:layout>
        <c:manualLayout>
          <c:xMode val="edge"/>
          <c:yMode val="edge"/>
          <c:x val="0.19548720472440984"/>
          <c:y val="1.9789157560978685E-2"/>
          <c:w val="0.58229057305336829"/>
          <c:h val="8.7630608673915686E-2"/>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0.43759441528142401"/>
          <c:y val="0.17216117216117224"/>
          <c:w val="0.45525973315835522"/>
          <c:h val="0.70886129618413296"/>
        </c:manualLayout>
      </c:layout>
      <c:barChart>
        <c:barDir val="bar"/>
        <c:grouping val="clustered"/>
        <c:ser>
          <c:idx val="0"/>
          <c:order val="0"/>
          <c:tx>
            <c:strRef>
              <c:f>Sheet1!$B$1</c:f>
              <c:strCache>
                <c:ptCount val="1"/>
                <c:pt idx="0">
                  <c:v>Nacin ulaganja</c:v>
                </c:pt>
              </c:strCache>
            </c:strRef>
          </c:tx>
          <c:dLbls>
            <c:showVal val="1"/>
          </c:dLbls>
          <c:cat>
            <c:strRef>
              <c:f>Sheet1!$A$2:$A$7</c:f>
              <c:strCache>
                <c:ptCount val="6"/>
                <c:pt idx="0">
                  <c:v>Kupovina ulaznica za dogadaje</c:v>
                </c:pt>
                <c:pt idx="1">
                  <c:v>Uplatom na ziro racun</c:v>
                </c:pt>
                <c:pt idx="2">
                  <c:v>SMS davanje</c:v>
                </c:pt>
                <c:pt idx="3">
                  <c:v>Ubacivanjem priloga u dobrotvorne kutuje na javnim mestima</c:v>
                </c:pt>
                <c:pt idx="4">
                  <c:v>.</c:v>
                </c:pt>
                <c:pt idx="5">
                  <c:v>Bez odgovora</c:v>
                </c:pt>
              </c:strCache>
            </c:strRef>
          </c:cat>
          <c:val>
            <c:numRef>
              <c:f>Sheet1!$B$2:$B$7</c:f>
              <c:numCache>
                <c:formatCode>General</c:formatCode>
                <c:ptCount val="6"/>
                <c:pt idx="0">
                  <c:v>30.8</c:v>
                </c:pt>
                <c:pt idx="1">
                  <c:v>28.5</c:v>
                </c:pt>
                <c:pt idx="2">
                  <c:v>21.6</c:v>
                </c:pt>
                <c:pt idx="3">
                  <c:v>7.4</c:v>
                </c:pt>
                <c:pt idx="4">
                  <c:v>7</c:v>
                </c:pt>
                <c:pt idx="5">
                  <c:v>3</c:v>
                </c:pt>
              </c:numCache>
            </c:numRef>
          </c:val>
        </c:ser>
        <c:axId val="155085440"/>
        <c:axId val="155087232"/>
      </c:barChart>
      <c:catAx>
        <c:axId val="155085440"/>
        <c:scaling>
          <c:orientation val="minMax"/>
        </c:scaling>
        <c:axPos val="l"/>
        <c:tickLblPos val="nextTo"/>
        <c:crossAx val="155087232"/>
        <c:crosses val="autoZero"/>
        <c:auto val="1"/>
        <c:lblAlgn val="ctr"/>
        <c:lblOffset val="100"/>
      </c:catAx>
      <c:valAx>
        <c:axId val="155087232"/>
        <c:scaling>
          <c:orientation val="minMax"/>
        </c:scaling>
        <c:axPos val="b"/>
        <c:majorGridlines/>
        <c:numFmt formatCode="General" sourceLinked="1"/>
        <c:tickLblPos val="nextTo"/>
        <c:crossAx val="155085440"/>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27"/>
  <c:chart>
    <c:autoTitleDeleted val="1"/>
    <c:plotArea>
      <c:layout/>
      <c:barChart>
        <c:barDir val="bar"/>
        <c:grouping val="clustered"/>
        <c:ser>
          <c:idx val="0"/>
          <c:order val="0"/>
          <c:tx>
            <c:strRef>
              <c:f>Sheet1!$B$1</c:f>
              <c:strCache>
                <c:ptCount val="1"/>
                <c:pt idx="0">
                  <c:v>Series 1</c:v>
                </c:pt>
              </c:strCache>
            </c:strRef>
          </c:tx>
          <c:dLbls>
            <c:showVal val="1"/>
          </c:dLbls>
          <c:cat>
            <c:strRef>
              <c:f>Sheet1!$A$2:$A$6</c:f>
              <c:strCache>
                <c:ptCount val="5"/>
                <c:pt idx="0">
                  <c:v>Poverenje da ce davanje biti iskorisceno za svrhe kojima je namenjeno</c:v>
                </c:pt>
                <c:pt idx="1">
                  <c:v>Obavestenje o rezultatima akcije (vidljivost rezultata)</c:v>
                </c:pt>
                <c:pt idx="2">
                  <c:v>Znacajna oblast ili tema za koju se ulaze</c:v>
                </c:pt>
                <c:pt idx="3">
                  <c:v>Dobra organizovanost - jednostavno ucesce</c:v>
                </c:pt>
                <c:pt idx="4">
                  <c:v>Adekvatnost pomoci (usmerenost na prioritetne probleme)</c:v>
                </c:pt>
              </c:strCache>
            </c:strRef>
          </c:cat>
          <c:val>
            <c:numRef>
              <c:f>Sheet1!$B$2:$B$6</c:f>
              <c:numCache>
                <c:formatCode>0.00%</c:formatCode>
                <c:ptCount val="5"/>
                <c:pt idx="0">
                  <c:v>0.57600000000000007</c:v>
                </c:pt>
                <c:pt idx="1">
                  <c:v>0.49400000000000011</c:v>
                </c:pt>
                <c:pt idx="2">
                  <c:v>0.31700000000000006</c:v>
                </c:pt>
                <c:pt idx="3">
                  <c:v>0.24200000000000002</c:v>
                </c:pt>
                <c:pt idx="4">
                  <c:v>0.22700000000000001</c:v>
                </c:pt>
              </c:numCache>
            </c:numRef>
          </c:val>
        </c:ser>
        <c:axId val="155094400"/>
        <c:axId val="155104384"/>
      </c:barChart>
      <c:catAx>
        <c:axId val="155094400"/>
        <c:scaling>
          <c:orientation val="minMax"/>
        </c:scaling>
        <c:axPos val="l"/>
        <c:tickLblPos val="nextTo"/>
        <c:crossAx val="155104384"/>
        <c:crosses val="autoZero"/>
        <c:auto val="1"/>
        <c:lblAlgn val="ctr"/>
        <c:lblOffset val="100"/>
      </c:catAx>
      <c:valAx>
        <c:axId val="155104384"/>
        <c:scaling>
          <c:orientation val="minMax"/>
        </c:scaling>
        <c:delete val="1"/>
        <c:axPos val="b"/>
        <c:majorGridlines/>
        <c:numFmt formatCode="0.00%" sourceLinked="1"/>
        <c:tickLblPos val="nextTo"/>
        <c:crossAx val="155094400"/>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31"/>
  <c:chart>
    <c:autoTitleDeleted val="1"/>
    <c:plotArea>
      <c:layout/>
      <c:barChart>
        <c:barDir val="col"/>
        <c:grouping val="clustered"/>
        <c:ser>
          <c:idx val="0"/>
          <c:order val="0"/>
          <c:tx>
            <c:strRef>
              <c:f>Sheet1!$B$1</c:f>
              <c:strCache>
                <c:ptCount val="1"/>
                <c:pt idx="0">
                  <c:v>Series 1</c:v>
                </c:pt>
              </c:strCache>
            </c:strRef>
          </c:tx>
          <c:dLbls>
            <c:showVal val="1"/>
          </c:dLbls>
          <c:cat>
            <c:strRef>
              <c:f>Sheet1!$A$2:$A$7</c:f>
              <c:strCache>
                <c:ptCount val="6"/>
                <c:pt idx="0">
                  <c:v>Nedostatak finansijskih sredstava gradana</c:v>
                </c:pt>
                <c:pt idx="1">
                  <c:v>Nedostatak poverenja da ce sredstva biti adekvatno iskoriscena</c:v>
                </c:pt>
                <c:pt idx="2">
                  <c:v>Nedostatak benefita za one koji daju (npr. poreske olaksice)</c:v>
                </c:pt>
                <c:pt idx="3">
                  <c:v>Nepostojanje kulture davanja</c:v>
                </c:pt>
                <c:pt idx="4">
                  <c:v>Nedovoljna obavestenost o akcijama</c:v>
                </c:pt>
                <c:pt idx="5">
                  <c:v>Previse komplikovane procedure (zahtevaju veliki angazman)</c:v>
                </c:pt>
              </c:strCache>
            </c:strRef>
          </c:cat>
          <c:val>
            <c:numRef>
              <c:f>Sheet1!$B$2:$B$7</c:f>
              <c:numCache>
                <c:formatCode>0.00%</c:formatCode>
                <c:ptCount val="6"/>
                <c:pt idx="0">
                  <c:v>0.77200000000000013</c:v>
                </c:pt>
                <c:pt idx="1">
                  <c:v>0.7430000000000001</c:v>
                </c:pt>
                <c:pt idx="2">
                  <c:v>0.28600000000000003</c:v>
                </c:pt>
                <c:pt idx="3">
                  <c:v>0.20900000000000002</c:v>
                </c:pt>
                <c:pt idx="4">
                  <c:v>0.20400000000000001</c:v>
                </c:pt>
                <c:pt idx="5">
                  <c:v>0.126</c:v>
                </c:pt>
              </c:numCache>
            </c:numRef>
          </c:val>
        </c:ser>
        <c:axId val="155431296"/>
        <c:axId val="155432832"/>
      </c:barChart>
      <c:catAx>
        <c:axId val="155431296"/>
        <c:scaling>
          <c:orientation val="minMax"/>
        </c:scaling>
        <c:axPos val="b"/>
        <c:tickLblPos val="nextTo"/>
        <c:crossAx val="155432832"/>
        <c:crosses val="autoZero"/>
        <c:auto val="1"/>
        <c:lblAlgn val="ctr"/>
        <c:lblOffset val="100"/>
      </c:catAx>
      <c:valAx>
        <c:axId val="155432832"/>
        <c:scaling>
          <c:orientation val="minMax"/>
        </c:scaling>
        <c:axPos val="l"/>
        <c:majorGridlines/>
        <c:numFmt formatCode="0%" sourceLinked="0"/>
        <c:tickLblPos val="nextTo"/>
        <c:crossAx val="15543129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sr-Latn-RS" b="0">
                <a:latin typeface="Garamond" pitchFamily="18" charset="0"/>
              </a:rPr>
              <a:t>Mesto stanovanja</a:t>
            </a:r>
            <a:endParaRPr lang="en-US" b="0">
              <a:latin typeface="Garamond" pitchFamily="18" charset="0"/>
            </a:endParaRPr>
          </a:p>
        </c:rich>
      </c:tx>
    </c:title>
    <c:plotArea>
      <c:layout/>
      <c:barChart>
        <c:barDir val="bar"/>
        <c:grouping val="stacked"/>
        <c:ser>
          <c:idx val="0"/>
          <c:order val="0"/>
          <c:tx>
            <c:strRef>
              <c:f>Sheet1!$B$1</c:f>
              <c:strCache>
                <c:ptCount val="1"/>
                <c:pt idx="0">
                  <c:v>Series 1</c:v>
                </c:pt>
              </c:strCache>
            </c:strRef>
          </c:tx>
          <c:dLbls>
            <c:dLbl>
              <c:idx val="0"/>
              <c:layout>
                <c:manualLayout>
                  <c:x val="5.5555555555555455E-2"/>
                  <c:y val="0"/>
                </c:manualLayout>
              </c:layout>
              <c:showVal val="1"/>
            </c:dLbl>
            <c:dLbl>
              <c:idx val="1"/>
              <c:layout>
                <c:manualLayout>
                  <c:x val="0.35416666666666813"/>
                  <c:y val="7.9365079365079413E-3"/>
                </c:manualLayout>
              </c:layout>
              <c:showVal val="1"/>
            </c:dLbl>
            <c:dLbl>
              <c:idx val="2"/>
              <c:layout>
                <c:manualLayout>
                  <c:x val="4.6296296296296516E-2"/>
                  <c:y val="3.9682539682539802E-3"/>
                </c:manualLayout>
              </c:layout>
              <c:showVal val="1"/>
            </c:dLbl>
            <c:dLbl>
              <c:idx val="3"/>
              <c:layout>
                <c:manualLayout>
                  <c:x val="0.15740740740740913"/>
                  <c:y val="0"/>
                </c:manualLayout>
              </c:layout>
              <c:showVal val="1"/>
            </c:dLbl>
            <c:dLbl>
              <c:idx val="4"/>
              <c:layout>
                <c:manualLayout>
                  <c:x val="0.1111111111111111"/>
                  <c:y val="0"/>
                </c:manualLayout>
              </c:layout>
              <c:showVal val="1"/>
            </c:dLbl>
            <c:dLbl>
              <c:idx val="5"/>
              <c:layout>
                <c:manualLayout>
                  <c:x val="5.5555555555555455E-2"/>
                  <c:y val="3.9682539682539802E-3"/>
                </c:manualLayout>
              </c:layout>
              <c:showVal val="1"/>
            </c:dLbl>
            <c:dLbl>
              <c:idx val="6"/>
              <c:layout>
                <c:manualLayout>
                  <c:x val="0.11342592592592612"/>
                  <c:y val="3.9682539682539802E-3"/>
                </c:manualLayout>
              </c:layout>
              <c:showVal val="1"/>
            </c:dLbl>
            <c:dLbl>
              <c:idx val="7"/>
              <c:layout>
                <c:manualLayout>
                  <c:x val="0.30324074074074081"/>
                  <c:y val="3.9682539682539802E-3"/>
                </c:manualLayout>
              </c:layout>
              <c:showVal val="1"/>
            </c:dLbl>
            <c:showVal val="1"/>
          </c:dLbls>
          <c:cat>
            <c:strRef>
              <c:f>Sheet1!$A$2:$A$9</c:f>
              <c:strCache>
                <c:ptCount val="8"/>
                <c:pt idx="0">
                  <c:v>Bez odgovora</c:v>
                </c:pt>
                <c:pt idx="1">
                  <c:v>Beograd </c:v>
                </c:pt>
                <c:pt idx="2">
                  <c:v>Zapadna Srbija</c:v>
                </c:pt>
                <c:pt idx="3">
                  <c:v>Centralna Srbija</c:v>
                </c:pt>
                <c:pt idx="4">
                  <c:v>Istocna Srbija</c:v>
                </c:pt>
                <c:pt idx="5">
                  <c:v>Sandzak</c:v>
                </c:pt>
                <c:pt idx="6">
                  <c:v>Juzna Srbija</c:v>
                </c:pt>
                <c:pt idx="7">
                  <c:v>Vojvodina</c:v>
                </c:pt>
              </c:strCache>
            </c:strRef>
          </c:cat>
          <c:val>
            <c:numRef>
              <c:f>Sheet1!$B$2:$B$9</c:f>
              <c:numCache>
                <c:formatCode>General</c:formatCode>
                <c:ptCount val="8"/>
                <c:pt idx="0">
                  <c:v>7.1</c:v>
                </c:pt>
                <c:pt idx="1">
                  <c:v>24.7</c:v>
                </c:pt>
                <c:pt idx="2">
                  <c:v>5.7</c:v>
                </c:pt>
                <c:pt idx="3">
                  <c:v>16.899999999999999</c:v>
                </c:pt>
                <c:pt idx="4">
                  <c:v>6.5</c:v>
                </c:pt>
                <c:pt idx="5">
                  <c:v>1.7</c:v>
                </c:pt>
                <c:pt idx="6">
                  <c:v>11.6</c:v>
                </c:pt>
                <c:pt idx="7">
                  <c:v>23.6</c:v>
                </c:pt>
              </c:numCache>
            </c:numRef>
          </c:val>
        </c:ser>
        <c:overlap val="100"/>
        <c:axId val="103052416"/>
        <c:axId val="103119488"/>
      </c:barChart>
      <c:catAx>
        <c:axId val="103052416"/>
        <c:scaling>
          <c:orientation val="minMax"/>
        </c:scaling>
        <c:axPos val="l"/>
        <c:numFmt formatCode="General" sourceLinked="1"/>
        <c:tickLblPos val="nextTo"/>
        <c:txPr>
          <a:bodyPr/>
          <a:lstStyle/>
          <a:p>
            <a:pPr>
              <a:defRPr baseline="0">
                <a:latin typeface="Garamond" pitchFamily="18" charset="0"/>
              </a:defRPr>
            </a:pPr>
            <a:endParaRPr lang="en-US"/>
          </a:p>
        </c:txPr>
        <c:crossAx val="103119488"/>
        <c:crosses val="autoZero"/>
        <c:auto val="1"/>
        <c:lblAlgn val="ctr"/>
        <c:lblOffset val="100"/>
      </c:catAx>
      <c:valAx>
        <c:axId val="103119488"/>
        <c:scaling>
          <c:orientation val="minMax"/>
        </c:scaling>
        <c:axPos val="b"/>
        <c:majorGridlines/>
        <c:numFmt formatCode="General" sourceLinked="1"/>
        <c:tickLblPos val="nextTo"/>
        <c:crossAx val="10305241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7"/>
  <c:chart>
    <c:autoTitleDeleted val="1"/>
    <c:plotArea>
      <c:layout/>
      <c:barChart>
        <c:barDir val="bar"/>
        <c:grouping val="clustered"/>
        <c:ser>
          <c:idx val="0"/>
          <c:order val="0"/>
          <c:tx>
            <c:strRef>
              <c:f>Sheet1!$B$1</c:f>
              <c:strCache>
                <c:ptCount val="1"/>
                <c:pt idx="0">
                  <c:v>Series 1</c:v>
                </c:pt>
              </c:strCache>
            </c:strRef>
          </c:tx>
          <c:dLbls>
            <c:showVal val="1"/>
          </c:dLbls>
          <c:cat>
            <c:strRef>
              <c:f>Sheet1!$A$2:$A$6</c:f>
              <c:strCache>
                <c:ptCount val="5"/>
                <c:pt idx="0">
                  <c:v>Nezaposlen/a</c:v>
                </c:pt>
                <c:pt idx="1">
                  <c:v>Stalno zaposlen/a</c:v>
                </c:pt>
                <c:pt idx="2">
                  <c:v>Zaposlen/a na odredjeno vreme</c:v>
                </c:pt>
                <c:pt idx="3">
                  <c:v>Student</c:v>
                </c:pt>
                <c:pt idx="4">
                  <c:v>Penzioner</c:v>
                </c:pt>
              </c:strCache>
            </c:strRef>
          </c:cat>
          <c:val>
            <c:numRef>
              <c:f>Sheet1!$B$2:$B$6</c:f>
              <c:numCache>
                <c:formatCode>General</c:formatCode>
                <c:ptCount val="5"/>
                <c:pt idx="0">
                  <c:v>23.1</c:v>
                </c:pt>
                <c:pt idx="1">
                  <c:v>31.9</c:v>
                </c:pt>
                <c:pt idx="2">
                  <c:v>14.2</c:v>
                </c:pt>
                <c:pt idx="3">
                  <c:v>27.8</c:v>
                </c:pt>
                <c:pt idx="4">
                  <c:v>3</c:v>
                </c:pt>
              </c:numCache>
            </c:numRef>
          </c:val>
        </c:ser>
        <c:axId val="104979456"/>
        <c:axId val="105140992"/>
      </c:barChart>
      <c:catAx>
        <c:axId val="104979456"/>
        <c:scaling>
          <c:orientation val="minMax"/>
        </c:scaling>
        <c:axPos val="l"/>
        <c:tickLblPos val="nextTo"/>
        <c:crossAx val="105140992"/>
        <c:crosses val="autoZero"/>
        <c:auto val="1"/>
        <c:lblAlgn val="ctr"/>
        <c:lblOffset val="100"/>
      </c:catAx>
      <c:valAx>
        <c:axId val="105140992"/>
        <c:scaling>
          <c:orientation val="minMax"/>
        </c:scaling>
        <c:axPos val="b"/>
        <c:majorGridlines/>
        <c:numFmt formatCode="General" sourceLinked="1"/>
        <c:tickLblPos val="nextTo"/>
        <c:crossAx val="10497945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barChart>
        <c:barDir val="bar"/>
        <c:grouping val="clustered"/>
        <c:ser>
          <c:idx val="0"/>
          <c:order val="0"/>
          <c:tx>
            <c:strRef>
              <c:f>Sheet1!$B$1</c:f>
              <c:strCache>
                <c:ptCount val="1"/>
                <c:pt idx="0">
                  <c:v>Mesecni prihodi</c:v>
                </c:pt>
              </c:strCache>
            </c:strRef>
          </c:tx>
          <c:dLbls>
            <c:showVal val="1"/>
          </c:dLbls>
          <c:cat>
            <c:strRef>
              <c:f>Sheet1!$A$2:$A$8</c:f>
              <c:strCache>
                <c:ptCount val="7"/>
                <c:pt idx="0">
                  <c:v>Bez primanja</c:v>
                </c:pt>
                <c:pt idx="1">
                  <c:v>Manje od 10.000 din.</c:v>
                </c:pt>
                <c:pt idx="2">
                  <c:v>10.000 - 20.000 din.</c:v>
                </c:pt>
                <c:pt idx="3">
                  <c:v>20.000 - 40.000 din.</c:v>
                </c:pt>
                <c:pt idx="4">
                  <c:v>40.000 - 80.000 din.</c:v>
                </c:pt>
                <c:pt idx="5">
                  <c:v>80.000 - 120.000 din.</c:v>
                </c:pt>
                <c:pt idx="6">
                  <c:v>120.000 - 200.000 din.</c:v>
                </c:pt>
              </c:strCache>
            </c:strRef>
          </c:cat>
          <c:val>
            <c:numRef>
              <c:f>Sheet1!$B$2:$B$8</c:f>
              <c:numCache>
                <c:formatCode>General</c:formatCode>
                <c:ptCount val="7"/>
                <c:pt idx="0">
                  <c:v>47.4</c:v>
                </c:pt>
                <c:pt idx="1">
                  <c:v>3.4</c:v>
                </c:pt>
                <c:pt idx="2">
                  <c:v>6.6</c:v>
                </c:pt>
                <c:pt idx="3">
                  <c:v>24.7</c:v>
                </c:pt>
                <c:pt idx="4">
                  <c:v>15.8</c:v>
                </c:pt>
                <c:pt idx="5">
                  <c:v>1.4</c:v>
                </c:pt>
                <c:pt idx="6">
                  <c:v>0.70000000000000007</c:v>
                </c:pt>
              </c:numCache>
            </c:numRef>
          </c:val>
        </c:ser>
        <c:axId val="127898368"/>
        <c:axId val="127900672"/>
      </c:barChart>
      <c:catAx>
        <c:axId val="127898368"/>
        <c:scaling>
          <c:orientation val="minMax"/>
        </c:scaling>
        <c:axPos val="l"/>
        <c:tickLblPos val="nextTo"/>
        <c:crossAx val="127900672"/>
        <c:crosses val="autoZero"/>
        <c:auto val="1"/>
        <c:lblAlgn val="ctr"/>
        <c:lblOffset val="100"/>
      </c:catAx>
      <c:valAx>
        <c:axId val="127900672"/>
        <c:scaling>
          <c:orientation val="minMax"/>
        </c:scaling>
        <c:axPos val="b"/>
        <c:majorGridlines/>
        <c:numFmt formatCode="General" sourceLinked="1"/>
        <c:tickLblPos val="nextTo"/>
        <c:crossAx val="12789836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barChart>
        <c:barDir val="bar"/>
        <c:grouping val="clustered"/>
        <c:ser>
          <c:idx val="0"/>
          <c:order val="0"/>
          <c:tx>
            <c:strRef>
              <c:f>Sheet1!$B$1</c:f>
              <c:strCache>
                <c:ptCount val="1"/>
                <c:pt idx="0">
                  <c:v>Series 1</c:v>
                </c:pt>
              </c:strCache>
            </c:strRef>
          </c:tx>
          <c:dLbls>
            <c:dLbl>
              <c:idx val="0"/>
              <c:layout>
                <c:manualLayout>
                  <c:x val="-6.5769805680119586E-2"/>
                  <c:y val="0"/>
                </c:manualLayout>
              </c:layout>
              <c:showVal val="1"/>
            </c:dLbl>
            <c:showVal val="1"/>
          </c:dLbls>
          <c:cat>
            <c:strRef>
              <c:f>Sheet1!$A$2:$A$10</c:f>
              <c:strCache>
                <c:ptCount val="9"/>
                <c:pt idx="0">
                  <c:v>Sredstvo informisanja o stanju u svetu</c:v>
                </c:pt>
                <c:pt idx="1">
                  <c:v>Sredstvo zabave i provodenje slobodnog vremena</c:v>
                </c:pt>
                <c:pt idx="2">
                  <c:v>Sredstvo informisanja o stanju u gradu u kojem zivim</c:v>
                </c:pt>
                <c:pt idx="3">
                  <c:v>Sredstvo informisanja o meni bitnim stvarima (porodica, zdravlje, deca)</c:v>
                </c:pt>
                <c:pt idx="4">
                  <c:v>Sredstvo informisanja o meni bitnim stvarima u oblasti moje profesije/posla kojim se bavim</c:v>
                </c:pt>
                <c:pt idx="5">
                  <c:v>Sredstvo marketinga gde ja saznajem informacije o robi i uslugama koje nameravam da kupim</c:v>
                </c:pt>
                <c:pt idx="6">
                  <c:v>Sredstvo informisanja o drustvu</c:v>
                </c:pt>
                <c:pt idx="7">
                  <c:v>Sredstvo propagande i manioulacije</c:v>
                </c:pt>
                <c:pt idx="8">
                  <c:v>Sredstvo informisanja o nauci</c:v>
                </c:pt>
              </c:strCache>
            </c:strRef>
          </c:cat>
          <c:val>
            <c:numRef>
              <c:f>Sheet1!$B$2:$B$10</c:f>
              <c:numCache>
                <c:formatCode>0.00%</c:formatCode>
                <c:ptCount val="9"/>
                <c:pt idx="0">
                  <c:v>0.70200000000000007</c:v>
                </c:pt>
                <c:pt idx="1">
                  <c:v>0.43500000000000005</c:v>
                </c:pt>
                <c:pt idx="2">
                  <c:v>0.34</c:v>
                </c:pt>
                <c:pt idx="3">
                  <c:v>0.40100000000000002</c:v>
                </c:pt>
                <c:pt idx="4">
                  <c:v>0.4220000000000001</c:v>
                </c:pt>
                <c:pt idx="5">
                  <c:v>0.24700000000000003</c:v>
                </c:pt>
                <c:pt idx="6">
                  <c:v>2.0000000000000004E-2</c:v>
                </c:pt>
                <c:pt idx="7">
                  <c:v>1.4999999999999998E-2</c:v>
                </c:pt>
                <c:pt idx="8">
                  <c:v>5.000000000000001E-3</c:v>
                </c:pt>
              </c:numCache>
            </c:numRef>
          </c:val>
        </c:ser>
        <c:axId val="132600576"/>
        <c:axId val="132628480"/>
      </c:barChart>
      <c:catAx>
        <c:axId val="132600576"/>
        <c:scaling>
          <c:orientation val="minMax"/>
        </c:scaling>
        <c:axPos val="l"/>
        <c:numFmt formatCode="General" sourceLinked="1"/>
        <c:tickLblPos val="nextTo"/>
        <c:crossAx val="132628480"/>
        <c:crossesAt val="0"/>
        <c:auto val="1"/>
        <c:lblAlgn val="ctr"/>
        <c:lblOffset val="100"/>
      </c:catAx>
      <c:valAx>
        <c:axId val="132628480"/>
        <c:scaling>
          <c:orientation val="minMax"/>
        </c:scaling>
        <c:delete val="1"/>
        <c:axPos val="b"/>
        <c:majorGridlines/>
        <c:numFmt formatCode="General" sourceLinked="0"/>
        <c:tickLblPos val="nextTo"/>
        <c:crossAx val="13260057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7"/>
  <c:chart>
    <c:plotArea>
      <c:layout>
        <c:manualLayout>
          <c:layoutTarget val="inner"/>
          <c:xMode val="edge"/>
          <c:yMode val="edge"/>
          <c:x val="6.3197541924026254E-2"/>
          <c:y val="4.4057617797775471E-2"/>
          <c:w val="0.88272588680905961"/>
          <c:h val="0.49511842269716388"/>
        </c:manualLayout>
      </c:layout>
      <c:barChart>
        <c:barDir val="col"/>
        <c:grouping val="clustered"/>
        <c:ser>
          <c:idx val="0"/>
          <c:order val="0"/>
          <c:tx>
            <c:strRef>
              <c:f>Sheet1!$B$1</c:f>
              <c:strCache>
                <c:ptCount val="1"/>
                <c:pt idx="0">
                  <c:v>Nacionalni</c:v>
                </c:pt>
              </c:strCache>
            </c:strRef>
          </c:tx>
          <c:dLbls>
            <c:dLbl>
              <c:idx val="11"/>
              <c:layout>
                <c:manualLayout>
                  <c:x val="0"/>
                  <c:y val="-1.7021276595744678E-2"/>
                </c:manualLayout>
              </c:layout>
              <c:showVal val="1"/>
            </c:dLbl>
            <c:showVal val="1"/>
          </c:dLbls>
          <c:cat>
            <c:strRef>
              <c:f>Sheet1!$A$2:$A$14</c:f>
              <c:strCache>
                <c:ptCount val="13"/>
                <c:pt idx="0">
                  <c:v>Deciji program</c:v>
                </c:pt>
                <c:pt idx="1">
                  <c:v>Desavanja u drustvu</c:v>
                </c:pt>
                <c:pt idx="2">
                  <c:v>Edukativni sadrzaji</c:v>
                </c:pt>
                <c:pt idx="3">
                  <c:v>Istinite i objektivne vesti</c:v>
                </c:pt>
                <c:pt idx="4">
                  <c:v>Nauka i tehnologija i strucnost</c:v>
                </c:pt>
                <c:pt idx="5">
                  <c:v>Sadrzaji o ekonomiji i biznisu</c:v>
                </c:pt>
                <c:pt idx="6">
                  <c:v>Servisne informacije</c:v>
                </c:pt>
                <c:pt idx="7">
                  <c:v>Sport</c:v>
                </c:pt>
                <c:pt idx="8">
                  <c:v>Umetnost i kultura</c:v>
                </c:pt>
                <c:pt idx="9">
                  <c:v>Vise o desavanjima u lokalnim sredinama</c:v>
                </c:pt>
                <c:pt idx="10">
                  <c:v>Zabavne emisije</c:v>
                </c:pt>
                <c:pt idx="11">
                  <c:v>Zdravi stilovi zivota</c:v>
                </c:pt>
                <c:pt idx="12">
                  <c:v>Nista</c:v>
                </c:pt>
              </c:strCache>
            </c:strRef>
          </c:cat>
          <c:val>
            <c:numRef>
              <c:f>Sheet1!$B$2:$B$14</c:f>
              <c:numCache>
                <c:formatCode>#,##0.0%</c:formatCode>
                <c:ptCount val="13"/>
                <c:pt idx="0">
                  <c:v>5.9701492537313453E-2</c:v>
                </c:pt>
                <c:pt idx="1">
                  <c:v>3.4825870646766177E-2</c:v>
                </c:pt>
                <c:pt idx="2">
                  <c:v>0.20398009950248761</c:v>
                </c:pt>
                <c:pt idx="3">
                  <c:v>5.4726368159203988E-2</c:v>
                </c:pt>
                <c:pt idx="4">
                  <c:v>0.12437810945273632</c:v>
                </c:pt>
                <c:pt idx="5">
                  <c:v>9.4527363184079657E-2</c:v>
                </c:pt>
                <c:pt idx="6">
                  <c:v>1.4925373134328361E-2</c:v>
                </c:pt>
                <c:pt idx="7">
                  <c:v>4.4776119402985079E-2</c:v>
                </c:pt>
                <c:pt idx="8">
                  <c:v>0.20398009950248761</c:v>
                </c:pt>
                <c:pt idx="9">
                  <c:v>4.4776119402985079E-2</c:v>
                </c:pt>
                <c:pt idx="10">
                  <c:v>5.4726368159203988E-2</c:v>
                </c:pt>
                <c:pt idx="11">
                  <c:v>3.4825870646766177E-2</c:v>
                </c:pt>
                <c:pt idx="12">
                  <c:v>9.4527363184079657E-2</c:v>
                </c:pt>
              </c:numCache>
            </c:numRef>
          </c:val>
        </c:ser>
        <c:ser>
          <c:idx val="1"/>
          <c:order val="1"/>
          <c:tx>
            <c:strRef>
              <c:f>Sheet1!$C$1</c:f>
              <c:strCache>
                <c:ptCount val="1"/>
                <c:pt idx="0">
                  <c:v>Lokalni</c:v>
                </c:pt>
              </c:strCache>
            </c:strRef>
          </c:tx>
          <c:dLbls>
            <c:dLbl>
              <c:idx val="12"/>
              <c:layout>
                <c:manualLayout>
                  <c:x val="1.3972055888223561E-2"/>
                  <c:y val="8.5106382978724342E-3"/>
                </c:manualLayout>
              </c:layout>
              <c:showVal val="1"/>
            </c:dLbl>
            <c:showVal val="1"/>
          </c:dLbls>
          <c:cat>
            <c:strRef>
              <c:f>Sheet1!$A$2:$A$14</c:f>
              <c:strCache>
                <c:ptCount val="13"/>
                <c:pt idx="0">
                  <c:v>Deciji program</c:v>
                </c:pt>
                <c:pt idx="1">
                  <c:v>Desavanja u drustvu</c:v>
                </c:pt>
                <c:pt idx="2">
                  <c:v>Edukativni sadrzaji</c:v>
                </c:pt>
                <c:pt idx="3">
                  <c:v>Istinite i objektivne vesti</c:v>
                </c:pt>
                <c:pt idx="4">
                  <c:v>Nauka i tehnologija i strucnost</c:v>
                </c:pt>
                <c:pt idx="5">
                  <c:v>Sadrzaji o ekonomiji i biznisu</c:v>
                </c:pt>
                <c:pt idx="6">
                  <c:v>Servisne informacije</c:v>
                </c:pt>
                <c:pt idx="7">
                  <c:v>Sport</c:v>
                </c:pt>
                <c:pt idx="8">
                  <c:v>Umetnost i kultura</c:v>
                </c:pt>
                <c:pt idx="9">
                  <c:v>Vise o desavanjima u lokalnim sredinama</c:v>
                </c:pt>
                <c:pt idx="10">
                  <c:v>Zabavne emisije</c:v>
                </c:pt>
                <c:pt idx="11">
                  <c:v>Zdravi stilovi zivota</c:v>
                </c:pt>
                <c:pt idx="12">
                  <c:v>Nista</c:v>
                </c:pt>
              </c:strCache>
            </c:strRef>
          </c:cat>
          <c:val>
            <c:numRef>
              <c:f>Sheet1!$C$2:$C$14</c:f>
              <c:numCache>
                <c:formatCode>0.00%</c:formatCode>
                <c:ptCount val="13"/>
                <c:pt idx="0" formatCode="#,##0.0%">
                  <c:v>3.2000000000000008E-2</c:v>
                </c:pt>
                <c:pt idx="1">
                  <c:v>4.200000000000001E-2</c:v>
                </c:pt>
                <c:pt idx="2" formatCode="#,##0.0%">
                  <c:v>8.5000000000000006E-2</c:v>
                </c:pt>
                <c:pt idx="3">
                  <c:v>0.12300000000000001</c:v>
                </c:pt>
                <c:pt idx="4" formatCode="#,##0.0%">
                  <c:v>3.9000000000000007E-2</c:v>
                </c:pt>
                <c:pt idx="5">
                  <c:v>6.900000000000002E-2</c:v>
                </c:pt>
                <c:pt idx="6">
                  <c:v>6.8000000000000019E-2</c:v>
                </c:pt>
                <c:pt idx="7">
                  <c:v>4.1000000000000002E-2</c:v>
                </c:pt>
                <c:pt idx="8">
                  <c:v>0.15700000000000003</c:v>
                </c:pt>
                <c:pt idx="9">
                  <c:v>0.12300000000000001</c:v>
                </c:pt>
                <c:pt idx="10">
                  <c:v>7.3999999999999996E-2</c:v>
                </c:pt>
                <c:pt idx="11">
                  <c:v>4.9000000000000009E-2</c:v>
                </c:pt>
                <c:pt idx="12" formatCode="#,##0.0%">
                  <c:v>0.10800000000000001</c:v>
                </c:pt>
              </c:numCache>
            </c:numRef>
          </c:val>
        </c:ser>
        <c:ser>
          <c:idx val="2"/>
          <c:order val="2"/>
          <c:cat>
            <c:strRef>
              <c:f>Sheet1!$A$2:$A$14</c:f>
              <c:strCache>
                <c:ptCount val="13"/>
                <c:pt idx="0">
                  <c:v>Deciji program</c:v>
                </c:pt>
                <c:pt idx="1">
                  <c:v>Desavanja u drustvu</c:v>
                </c:pt>
                <c:pt idx="2">
                  <c:v>Edukativni sadrzaji</c:v>
                </c:pt>
                <c:pt idx="3">
                  <c:v>Istinite i objektivne vesti</c:v>
                </c:pt>
                <c:pt idx="4">
                  <c:v>Nauka i tehnologija i strucnost</c:v>
                </c:pt>
                <c:pt idx="5">
                  <c:v>Sadrzaji o ekonomiji i biznisu</c:v>
                </c:pt>
                <c:pt idx="6">
                  <c:v>Servisne informacije</c:v>
                </c:pt>
                <c:pt idx="7">
                  <c:v>Sport</c:v>
                </c:pt>
                <c:pt idx="8">
                  <c:v>Umetnost i kultura</c:v>
                </c:pt>
                <c:pt idx="9">
                  <c:v>Vise o desavanjima u lokalnim sredinama</c:v>
                </c:pt>
                <c:pt idx="10">
                  <c:v>Zabavne emisije</c:v>
                </c:pt>
                <c:pt idx="11">
                  <c:v>Zdravi stilovi zivota</c:v>
                </c:pt>
                <c:pt idx="12">
                  <c:v>Nista</c:v>
                </c:pt>
              </c:strCache>
            </c:strRef>
          </c:cat>
          <c:val>
            <c:numRef>
              <c:f>Sheet1!$D$2:$D$14</c:f>
            </c:numRef>
          </c:val>
        </c:ser>
        <c:axId val="138318208"/>
        <c:axId val="138319744"/>
      </c:barChart>
      <c:catAx>
        <c:axId val="138318208"/>
        <c:scaling>
          <c:orientation val="minMax"/>
        </c:scaling>
        <c:axPos val="b"/>
        <c:numFmt formatCode="0.00%" sourceLinked="0"/>
        <c:tickLblPos val="nextTo"/>
        <c:crossAx val="138319744"/>
        <c:crosses val="autoZero"/>
        <c:auto val="1"/>
        <c:lblAlgn val="ctr"/>
        <c:lblOffset val="100"/>
      </c:catAx>
      <c:valAx>
        <c:axId val="138319744"/>
        <c:scaling>
          <c:orientation val="minMax"/>
        </c:scaling>
        <c:delete val="1"/>
        <c:axPos val="l"/>
        <c:majorGridlines/>
        <c:numFmt formatCode="00000" sourceLinked="0"/>
        <c:tickLblPos val="nextTo"/>
        <c:crossAx val="138318208"/>
        <c:crosses val="autoZero"/>
        <c:crossBetween val="between"/>
      </c:valAx>
    </c:plotArea>
    <c:legend>
      <c:legendPos val="r"/>
      <c:layout>
        <c:manualLayout>
          <c:xMode val="edge"/>
          <c:yMode val="edge"/>
          <c:x val="0.81890989674194914"/>
          <c:y val="0.82570949907857727"/>
          <c:w val="0.11959985540729566"/>
          <c:h val="0.10259809013235048"/>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1"/>
  <c:chart>
    <c:autoTitleDeleted val="1"/>
    <c:plotArea>
      <c:layout/>
      <c:barChart>
        <c:barDir val="bar"/>
        <c:grouping val="clustered"/>
        <c:ser>
          <c:idx val="0"/>
          <c:order val="0"/>
          <c:tx>
            <c:strRef>
              <c:f>Sheet1!$B$1</c:f>
              <c:strCache>
                <c:ptCount val="1"/>
                <c:pt idx="0">
                  <c:v>Series 1</c:v>
                </c:pt>
              </c:strCache>
            </c:strRef>
          </c:tx>
          <c:dLbls>
            <c:showVal val="1"/>
          </c:dLbls>
          <c:cat>
            <c:strRef>
              <c:f>Sheet1!$A$2:$A$8</c:f>
              <c:strCache>
                <c:ptCount val="7"/>
                <c:pt idx="0">
                  <c:v>Veca nezavisnost u kreiranju programa</c:v>
                </c:pt>
                <c:pt idx="1">
                  <c:v>Unapredenje tehnickih resursa</c:v>
                </c:pt>
                <c:pt idx="2">
                  <c:v>Unapredjenje on line sadrћaja</c:v>
                </c:pt>
                <c:pt idx="3">
                  <c:v>Jacanje kapaciteta postojecih kadrova</c:v>
                </c:pt>
                <c:pt idx="4">
                  <c:v>Zaposljavanje veceg broja novinara</c:v>
                </c:pt>
                <c:pt idx="5">
                  <c:v>Zaposljavanje profesionalnih novinara</c:v>
                </c:pt>
                <c:pt idx="6">
                  <c:v>Nov nacn rada</c:v>
                </c:pt>
              </c:strCache>
            </c:strRef>
          </c:cat>
          <c:val>
            <c:numRef>
              <c:f>Sheet1!$B$2:$B$8</c:f>
              <c:numCache>
                <c:formatCode>0.00</c:formatCode>
                <c:ptCount val="7"/>
                <c:pt idx="0">
                  <c:v>70</c:v>
                </c:pt>
                <c:pt idx="1">
                  <c:v>40.5</c:v>
                </c:pt>
                <c:pt idx="2">
                  <c:v>34.700000000000003</c:v>
                </c:pt>
                <c:pt idx="3">
                  <c:v>31.6</c:v>
                </c:pt>
                <c:pt idx="4">
                  <c:v>14.4</c:v>
                </c:pt>
                <c:pt idx="5" formatCode="General">
                  <c:v>3.4</c:v>
                </c:pt>
                <c:pt idx="6" formatCode="General">
                  <c:v>1.9000000000000001</c:v>
                </c:pt>
              </c:numCache>
            </c:numRef>
          </c:val>
        </c:ser>
        <c:axId val="140931072"/>
        <c:axId val="140932608"/>
      </c:barChart>
      <c:catAx>
        <c:axId val="140931072"/>
        <c:scaling>
          <c:orientation val="minMax"/>
        </c:scaling>
        <c:axPos val="l"/>
        <c:tickLblPos val="nextTo"/>
        <c:crossAx val="140932608"/>
        <c:crosses val="autoZero"/>
        <c:auto val="1"/>
        <c:lblAlgn val="ctr"/>
        <c:lblOffset val="100"/>
      </c:catAx>
      <c:valAx>
        <c:axId val="140932608"/>
        <c:scaling>
          <c:orientation val="minMax"/>
        </c:scaling>
        <c:delete val="1"/>
        <c:axPos val="b"/>
        <c:majorGridlines/>
        <c:numFmt formatCode="0.00" sourceLinked="1"/>
        <c:tickLblPos val="nextTo"/>
        <c:crossAx val="14093107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27"/>
  <c:chart>
    <c:autoTitleDeleted val="1"/>
    <c:plotArea>
      <c:layout/>
      <c:barChart>
        <c:barDir val="bar"/>
        <c:grouping val="clustered"/>
        <c:ser>
          <c:idx val="0"/>
          <c:order val="0"/>
          <c:tx>
            <c:strRef>
              <c:f>Sheet1!$B$1</c:f>
              <c:strCache>
                <c:ptCount val="1"/>
                <c:pt idx="0">
                  <c:v>Column1</c:v>
                </c:pt>
              </c:strCache>
            </c:strRef>
          </c:tx>
          <c:dLbls>
            <c:showVal val="1"/>
          </c:dLbls>
          <c:cat>
            <c:strRef>
              <c:f>Sheet1!$A$2:$A$11</c:f>
              <c:strCache>
                <c:ptCount val="10"/>
                <c:pt idx="0">
                  <c:v>Ne</c:v>
                </c:pt>
                <c:pt idx="1">
                  <c:v>Ne znam</c:v>
                </c:pt>
                <c:pt idx="2">
                  <c:v>Da, ako bi takav fond bio u vlasnistvu gradana</c:v>
                </c:pt>
                <c:pt idx="3">
                  <c:v>Da, ako bi to uticalo na sadrzaje koji ce biti podrzani</c:v>
                </c:pt>
                <c:pt idx="4">
                  <c:v>Da, ako bi bio i neko ko odlucuje o radu fonda (upravljanje, organizacija, kadrovi)</c:v>
                </c:pt>
                <c:pt idx="5">
                  <c:v>Da, ako bi takav fond bio osnovan na nivou mog grada</c:v>
                </c:pt>
                <c:pt idx="6">
                  <c:v>Da, ako bi takav fond bio u vlasnistvu medija</c:v>
                </c:pt>
                <c:pt idx="7">
                  <c:v>Da, ako bi takav fond bio podrzan od drzave</c:v>
                </c:pt>
                <c:pt idx="8">
                  <c:v>Da, ako bih imao finansijskih mogucnosti</c:v>
                </c:pt>
                <c:pt idx="9">
                  <c:v>Da, ako bih uticlo na izbor medija koji bi se podrzali</c:v>
                </c:pt>
              </c:strCache>
            </c:strRef>
          </c:cat>
          <c:val>
            <c:numRef>
              <c:f>Sheet1!$B$2:$B$11</c:f>
              <c:numCache>
                <c:formatCode>General</c:formatCode>
                <c:ptCount val="10"/>
                <c:pt idx="0">
                  <c:v>24.2</c:v>
                </c:pt>
                <c:pt idx="1">
                  <c:v>21.4</c:v>
                </c:pt>
                <c:pt idx="2">
                  <c:v>17.100000000000001</c:v>
                </c:pt>
                <c:pt idx="3">
                  <c:v>13</c:v>
                </c:pt>
                <c:pt idx="4">
                  <c:v>7.8</c:v>
                </c:pt>
                <c:pt idx="5">
                  <c:v>5.5</c:v>
                </c:pt>
                <c:pt idx="6">
                  <c:v>3.4</c:v>
                </c:pt>
                <c:pt idx="7">
                  <c:v>4</c:v>
                </c:pt>
                <c:pt idx="8">
                  <c:v>1.5</c:v>
                </c:pt>
                <c:pt idx="9">
                  <c:v>3</c:v>
                </c:pt>
              </c:numCache>
            </c:numRef>
          </c:val>
        </c:ser>
        <c:axId val="143276672"/>
        <c:axId val="143323520"/>
      </c:barChart>
      <c:catAx>
        <c:axId val="143276672"/>
        <c:scaling>
          <c:orientation val="minMax"/>
        </c:scaling>
        <c:axPos val="l"/>
        <c:numFmt formatCode="General" sourceLinked="1"/>
        <c:tickLblPos val="nextTo"/>
        <c:txPr>
          <a:bodyPr/>
          <a:lstStyle/>
          <a:p>
            <a:pPr>
              <a:defRPr sz="900" baseline="0"/>
            </a:pPr>
            <a:endParaRPr lang="en-US"/>
          </a:p>
        </c:txPr>
        <c:crossAx val="143323520"/>
        <c:crosses val="autoZero"/>
        <c:auto val="1"/>
        <c:lblAlgn val="ctr"/>
        <c:lblOffset val="100"/>
      </c:catAx>
      <c:valAx>
        <c:axId val="143323520"/>
        <c:scaling>
          <c:orientation val="minMax"/>
        </c:scaling>
        <c:axPos val="b"/>
        <c:majorGridlines/>
        <c:numFmt formatCode="General" sourceLinked="1"/>
        <c:tickLblPos val="nextTo"/>
        <c:crossAx val="143276672"/>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a:pPr>
            <a:r>
              <a:rPr lang="en-US">
                <a:latin typeface="Garamond" pitchFamily="18" charset="0"/>
              </a:rPr>
              <a:t>Da li biste radije podrzali</a:t>
            </a:r>
          </a:p>
        </c:rich>
      </c:tx>
    </c:title>
    <c:view3D>
      <c:rotX val="30"/>
      <c:perspective val="30"/>
    </c:view3D>
    <c:plotArea>
      <c:layout/>
      <c:pie3DChart>
        <c:varyColors val="1"/>
        <c:ser>
          <c:idx val="0"/>
          <c:order val="0"/>
          <c:tx>
            <c:strRef>
              <c:f>Sheet1!$B$1</c:f>
              <c:strCache>
                <c:ptCount val="1"/>
                <c:pt idx="0">
                  <c:v>Da li biste radije podrzali</c:v>
                </c:pt>
              </c:strCache>
            </c:strRef>
          </c:tx>
          <c:dLbls>
            <c:dLbl>
              <c:idx val="1"/>
              <c:layout>
                <c:manualLayout>
                  <c:x val="0.10787483595800526"/>
                  <c:y val="-0.1639938757655294"/>
                </c:manualLayout>
              </c:layout>
              <c:showVal val="1"/>
            </c:dLbl>
            <c:dLbl>
              <c:idx val="2"/>
              <c:layout>
                <c:manualLayout>
                  <c:x val="0.10605807086614173"/>
                  <c:y val="6.7173478315210602E-2"/>
                </c:manualLayout>
              </c:layout>
              <c:showVal val="1"/>
            </c:dLbl>
            <c:showVal val="1"/>
            <c:showLeaderLines val="1"/>
          </c:dLbls>
          <c:cat>
            <c:strRef>
              <c:f>Sheet1!$A$2:$A$4</c:f>
              <c:strCache>
                <c:ptCount val="3"/>
                <c:pt idx="0">
                  <c:v>Lokalne medije</c:v>
                </c:pt>
                <c:pt idx="1">
                  <c:v>Regionalne medije</c:v>
                </c:pt>
                <c:pt idx="2">
                  <c:v>Nacionalne medije</c:v>
                </c:pt>
              </c:strCache>
            </c:strRef>
          </c:cat>
          <c:val>
            <c:numRef>
              <c:f>Sheet1!$B$2:$B$4</c:f>
              <c:numCache>
                <c:formatCode>General</c:formatCode>
                <c:ptCount val="3"/>
                <c:pt idx="0">
                  <c:v>50</c:v>
                </c:pt>
                <c:pt idx="1">
                  <c:v>15.2</c:v>
                </c:pt>
                <c:pt idx="2">
                  <c:v>34.800000000000004</c:v>
                </c:pt>
              </c:numCache>
            </c:numRef>
          </c:val>
        </c:ser>
      </c:pie3DChart>
    </c:plotArea>
    <c:legend>
      <c:legendPos val="r"/>
      <c:txPr>
        <a:bodyPr/>
        <a:lstStyle/>
        <a:p>
          <a:pPr>
            <a:defRPr>
              <a:latin typeface="Garamond"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Biro za društvena istraživanja 
(BIRODI)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C05DAE-AF3A-4185-969F-F0C11010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Nezavisni medijski fond – Istraživanje stavova građana i predstavnika medija</vt:lpstr>
    </vt:vector>
  </TitlesOfParts>
  <Company>Toshiba</Company>
  <LinksUpToDate>false</LinksUpToDate>
  <CharactersWithSpaces>12416</CharactersWithSpaces>
  <SharedDoc>false</SharedDoc>
  <HLinks>
    <vt:vector size="30" baseType="variant">
      <vt:variant>
        <vt:i4>1835061</vt:i4>
      </vt:variant>
      <vt:variant>
        <vt:i4>26</vt:i4>
      </vt:variant>
      <vt:variant>
        <vt:i4>0</vt:i4>
      </vt:variant>
      <vt:variant>
        <vt:i4>5</vt:i4>
      </vt:variant>
      <vt:variant>
        <vt:lpwstr/>
      </vt:variant>
      <vt:variant>
        <vt:lpwstr>_Toc384113319</vt:lpwstr>
      </vt:variant>
      <vt:variant>
        <vt:i4>1835061</vt:i4>
      </vt:variant>
      <vt:variant>
        <vt:i4>20</vt:i4>
      </vt:variant>
      <vt:variant>
        <vt:i4>0</vt:i4>
      </vt:variant>
      <vt:variant>
        <vt:i4>5</vt:i4>
      </vt:variant>
      <vt:variant>
        <vt:lpwstr/>
      </vt:variant>
      <vt:variant>
        <vt:lpwstr>_Toc384113318</vt:lpwstr>
      </vt:variant>
      <vt:variant>
        <vt:i4>1835061</vt:i4>
      </vt:variant>
      <vt:variant>
        <vt:i4>14</vt:i4>
      </vt:variant>
      <vt:variant>
        <vt:i4>0</vt:i4>
      </vt:variant>
      <vt:variant>
        <vt:i4>5</vt:i4>
      </vt:variant>
      <vt:variant>
        <vt:lpwstr/>
      </vt:variant>
      <vt:variant>
        <vt:lpwstr>_Toc384113317</vt:lpwstr>
      </vt:variant>
      <vt:variant>
        <vt:i4>1835061</vt:i4>
      </vt:variant>
      <vt:variant>
        <vt:i4>8</vt:i4>
      </vt:variant>
      <vt:variant>
        <vt:i4>0</vt:i4>
      </vt:variant>
      <vt:variant>
        <vt:i4>5</vt:i4>
      </vt:variant>
      <vt:variant>
        <vt:lpwstr/>
      </vt:variant>
      <vt:variant>
        <vt:lpwstr>_Toc384113316</vt:lpwstr>
      </vt:variant>
      <vt:variant>
        <vt:i4>1835061</vt:i4>
      </vt:variant>
      <vt:variant>
        <vt:i4>2</vt:i4>
      </vt:variant>
      <vt:variant>
        <vt:i4>0</vt:i4>
      </vt:variant>
      <vt:variant>
        <vt:i4>5</vt:i4>
      </vt:variant>
      <vt:variant>
        <vt:lpwstr/>
      </vt:variant>
      <vt:variant>
        <vt:lpwstr>_Toc384113315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Nezavisni medijski fond – Istraživanje stavova građana i predstavnika medija</dc:title>
  <dc:creator>Birodi</dc:creator>
  <cp:lastModifiedBy>Sneza</cp:lastModifiedBy>
  <cp:revision>11</cp:revision>
  <cp:lastPrinted>2014-04-01T09:19:00Z</cp:lastPrinted>
  <dcterms:created xsi:type="dcterms:W3CDTF">2014-06-04T18:45:00Z</dcterms:created>
  <dcterms:modified xsi:type="dcterms:W3CDTF">2014-06-05T19:08:00Z</dcterms:modified>
</cp:coreProperties>
</file>